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69" w:rsidRPr="00CD6DF8" w:rsidRDefault="00810F69" w:rsidP="00810F69">
      <w:pPr>
        <w:pStyle w:val="ListBullet"/>
        <w:tabs>
          <w:tab w:val="clear" w:pos="360"/>
          <w:tab w:val="left" w:pos="708"/>
        </w:tabs>
        <w:spacing w:after="120"/>
        <w:ind w:left="-142" w:right="-2" w:firstLine="0"/>
        <w:contextualSpacing w:val="0"/>
        <w:jc w:val="both"/>
        <w:rPr>
          <w:rFonts w:ascii="Arial" w:hAnsi="Arial" w:cs="Arial"/>
          <w:b/>
          <w:color w:val="808080" w:themeColor="background1" w:themeShade="80"/>
          <w:sz w:val="28"/>
        </w:rPr>
      </w:pPr>
      <w:bookmarkStart w:id="0" w:name="_GoBack"/>
      <w:bookmarkEnd w:id="0"/>
      <w:r w:rsidRPr="00CD6DF8">
        <w:rPr>
          <w:rFonts w:ascii="Arial" w:hAnsi="Arial" w:cs="Arial"/>
          <w:b/>
          <w:color w:val="808080" w:themeColor="background1" w:themeShade="80"/>
          <w:sz w:val="28"/>
        </w:rPr>
        <w:t>ÚLTIMA REFORMA DECRETO 301, P.O. 38, 03 DE JUNIO DE 2017.</w:t>
      </w:r>
    </w:p>
    <w:p w:rsidR="00810F69" w:rsidRDefault="00810F69" w:rsidP="00810F69">
      <w:pPr>
        <w:pStyle w:val="ListBullet"/>
        <w:tabs>
          <w:tab w:val="clear" w:pos="360"/>
          <w:tab w:val="left" w:pos="708"/>
        </w:tabs>
        <w:spacing w:after="120"/>
        <w:ind w:left="-142" w:right="-2" w:firstLine="0"/>
        <w:contextualSpacing w:val="0"/>
        <w:jc w:val="both"/>
        <w:rPr>
          <w:rFonts w:ascii="Arial" w:hAnsi="Arial" w:cs="Arial"/>
          <w:b/>
          <w:sz w:val="22"/>
        </w:rPr>
      </w:pPr>
    </w:p>
    <w:p w:rsidR="00810F69" w:rsidRDefault="00810F69" w:rsidP="00810F69">
      <w:pPr>
        <w:pStyle w:val="ListBullet"/>
        <w:tabs>
          <w:tab w:val="clear" w:pos="360"/>
          <w:tab w:val="left" w:pos="708"/>
        </w:tabs>
        <w:spacing w:after="120"/>
        <w:ind w:left="-142" w:right="-2" w:firstLine="0"/>
        <w:contextualSpacing w:val="0"/>
        <w:jc w:val="both"/>
        <w:rPr>
          <w:rFonts w:ascii="Arial" w:hAnsi="Arial" w:cs="Arial"/>
          <w:b/>
          <w:sz w:val="22"/>
        </w:rPr>
      </w:pPr>
      <w:r w:rsidRPr="00402B59">
        <w:rPr>
          <w:rFonts w:ascii="Arial" w:hAnsi="Arial" w:cs="Arial"/>
          <w:b/>
          <w:sz w:val="22"/>
        </w:rPr>
        <w:t>Ley Publicada en el Periódico Oficial “El Estado de Colima”, No. 31, lunes 30 de mayo de 2016.</w:t>
      </w:r>
    </w:p>
    <w:p w:rsidR="00810F69" w:rsidRPr="00402B59" w:rsidRDefault="00810F69" w:rsidP="00810F69">
      <w:pPr>
        <w:pStyle w:val="ListBullet"/>
        <w:tabs>
          <w:tab w:val="clear" w:pos="360"/>
          <w:tab w:val="left" w:pos="708"/>
        </w:tabs>
        <w:spacing w:after="120"/>
        <w:ind w:left="-142" w:right="-2" w:firstLine="0"/>
        <w:contextualSpacing w:val="0"/>
        <w:jc w:val="both"/>
        <w:rPr>
          <w:rFonts w:ascii="Arial" w:hAnsi="Arial" w:cs="Arial"/>
          <w:b/>
          <w:sz w:val="22"/>
        </w:rPr>
      </w:pPr>
    </w:p>
    <w:p w:rsidR="00810F69" w:rsidRPr="00402B59" w:rsidRDefault="00810F69" w:rsidP="00810F69">
      <w:pPr>
        <w:pStyle w:val="ListBullet"/>
        <w:tabs>
          <w:tab w:val="clear" w:pos="360"/>
          <w:tab w:val="left" w:pos="708"/>
        </w:tabs>
        <w:ind w:left="-142" w:firstLine="0"/>
        <w:contextualSpacing w:val="0"/>
        <w:jc w:val="center"/>
        <w:rPr>
          <w:rFonts w:ascii="Arial" w:hAnsi="Arial" w:cs="Arial"/>
          <w:b/>
        </w:rPr>
      </w:pPr>
      <w:r w:rsidRPr="00402B59">
        <w:rPr>
          <w:rFonts w:ascii="Arial" w:hAnsi="Arial" w:cs="Arial"/>
          <w:b/>
        </w:rPr>
        <w:t>DECRETO NO. 93</w:t>
      </w:r>
    </w:p>
    <w:p w:rsidR="00810F69" w:rsidRDefault="00810F69" w:rsidP="00810F69">
      <w:pPr>
        <w:pStyle w:val="ListBullet"/>
        <w:tabs>
          <w:tab w:val="clear" w:pos="360"/>
          <w:tab w:val="left" w:pos="708"/>
        </w:tabs>
        <w:ind w:left="-142" w:firstLine="0"/>
        <w:contextualSpacing w:val="0"/>
        <w:jc w:val="center"/>
        <w:rPr>
          <w:rFonts w:ascii="Arial" w:hAnsi="Arial" w:cs="Arial"/>
          <w:b/>
        </w:rPr>
      </w:pPr>
      <w:r w:rsidRPr="00402B59">
        <w:rPr>
          <w:rFonts w:ascii="Arial" w:hAnsi="Arial" w:cs="Arial"/>
          <w:b/>
        </w:rPr>
        <w:t xml:space="preserve">SE APRUEBA LA LEY DE TRANSPARENCIA Y ACCESO </w:t>
      </w:r>
    </w:p>
    <w:p w:rsidR="00810F69" w:rsidRDefault="00810F69" w:rsidP="00810F69">
      <w:pPr>
        <w:pStyle w:val="ListBullet"/>
        <w:tabs>
          <w:tab w:val="clear" w:pos="360"/>
          <w:tab w:val="left" w:pos="708"/>
        </w:tabs>
        <w:ind w:left="-142" w:firstLine="0"/>
        <w:contextualSpacing w:val="0"/>
        <w:jc w:val="center"/>
        <w:rPr>
          <w:rFonts w:ascii="Arial" w:hAnsi="Arial" w:cs="Arial"/>
          <w:b/>
        </w:rPr>
      </w:pPr>
      <w:r w:rsidRPr="00402B59">
        <w:rPr>
          <w:rFonts w:ascii="Arial" w:hAnsi="Arial" w:cs="Arial"/>
          <w:b/>
        </w:rPr>
        <w:t>A LA INFORMACIÓN PÚBLICA DEL ESTADO DE COLIMA.</w:t>
      </w:r>
    </w:p>
    <w:p w:rsidR="00810F69" w:rsidRDefault="00810F69" w:rsidP="00810F69">
      <w:pPr>
        <w:pStyle w:val="ListBullet"/>
        <w:tabs>
          <w:tab w:val="clear" w:pos="360"/>
          <w:tab w:val="left" w:pos="708"/>
        </w:tabs>
        <w:ind w:left="-142" w:firstLine="0"/>
        <w:contextualSpacing w:val="0"/>
        <w:jc w:val="center"/>
        <w:rPr>
          <w:rFonts w:ascii="Arial" w:hAnsi="Arial" w:cs="Arial"/>
          <w:b/>
        </w:rPr>
      </w:pPr>
    </w:p>
    <w:p w:rsidR="00810F69" w:rsidRPr="00402B59" w:rsidRDefault="00810F69" w:rsidP="00810F69">
      <w:pPr>
        <w:pStyle w:val="ListBullet"/>
        <w:tabs>
          <w:tab w:val="clear" w:pos="360"/>
          <w:tab w:val="left" w:pos="708"/>
        </w:tabs>
        <w:spacing w:after="120"/>
        <w:ind w:left="-142" w:right="-2" w:firstLine="0"/>
        <w:contextualSpacing w:val="0"/>
        <w:jc w:val="both"/>
        <w:rPr>
          <w:rFonts w:ascii="Arial" w:hAnsi="Arial" w:cs="Arial"/>
        </w:rPr>
      </w:pPr>
      <w:r w:rsidRPr="00402B59">
        <w:rPr>
          <w:rFonts w:ascii="Arial" w:hAnsi="Arial" w:cs="Arial"/>
          <w:b/>
        </w:rPr>
        <w:t>LIC. JOSÉ IGNACIO PERALTA SÁNCHEZ,</w:t>
      </w:r>
      <w:r w:rsidRPr="00402B59">
        <w:rPr>
          <w:rFonts w:ascii="Arial" w:hAnsi="Arial" w:cs="Arial"/>
        </w:rPr>
        <w:t xml:space="preserve"> Gobernador Constitucional del Estado Libre y Soberano de Colima, a sus habitantes sabed: Que el H. Congreso del Estado me ha dirigido para su publicación el siguiente: </w:t>
      </w:r>
    </w:p>
    <w:p w:rsidR="00810F69" w:rsidRPr="00402B59" w:rsidRDefault="00810F69" w:rsidP="00810F69">
      <w:pPr>
        <w:pStyle w:val="ListBullet"/>
        <w:tabs>
          <w:tab w:val="clear" w:pos="360"/>
          <w:tab w:val="left" w:pos="708"/>
        </w:tabs>
        <w:spacing w:after="120"/>
        <w:ind w:left="-142" w:right="-2" w:firstLine="0"/>
        <w:contextualSpacing w:val="0"/>
        <w:jc w:val="center"/>
        <w:rPr>
          <w:rFonts w:ascii="Arial" w:hAnsi="Arial" w:cs="Arial"/>
          <w:b/>
        </w:rPr>
      </w:pPr>
      <w:r w:rsidRPr="00402B59">
        <w:rPr>
          <w:rFonts w:ascii="Arial" w:hAnsi="Arial" w:cs="Arial"/>
          <w:b/>
        </w:rPr>
        <w:t>D E C R E T O</w:t>
      </w:r>
    </w:p>
    <w:p w:rsidR="00810F69" w:rsidRDefault="00810F69" w:rsidP="00810F69">
      <w:pPr>
        <w:pStyle w:val="ListBullet"/>
        <w:tabs>
          <w:tab w:val="clear" w:pos="360"/>
          <w:tab w:val="left" w:pos="708"/>
        </w:tabs>
        <w:spacing w:after="120"/>
        <w:ind w:left="-142" w:right="-2" w:firstLine="0"/>
        <w:contextualSpacing w:val="0"/>
        <w:jc w:val="both"/>
        <w:rPr>
          <w:rFonts w:asciiTheme="minorHAnsi" w:hAnsiTheme="minorHAnsi" w:cs="Calibri"/>
          <w:b/>
          <w:i/>
          <w:lang w:val="es-MX"/>
        </w:rPr>
      </w:pPr>
    </w:p>
    <w:p w:rsidR="00810F69" w:rsidRPr="0040486F" w:rsidRDefault="00810F69" w:rsidP="00810F69">
      <w:pPr>
        <w:pStyle w:val="ListBullet"/>
        <w:tabs>
          <w:tab w:val="clear" w:pos="360"/>
          <w:tab w:val="left" w:pos="708"/>
        </w:tabs>
        <w:spacing w:after="120"/>
        <w:ind w:left="-142" w:right="-2" w:firstLine="0"/>
        <w:contextualSpacing w:val="0"/>
        <w:jc w:val="both"/>
        <w:rPr>
          <w:rFonts w:asciiTheme="minorHAnsi" w:hAnsiTheme="minorHAnsi" w:cs="Calibri"/>
          <w:b/>
          <w:i/>
          <w:lang w:val="es-MX"/>
        </w:rPr>
      </w:pPr>
      <w:r w:rsidRPr="0040486F">
        <w:rPr>
          <w:rFonts w:asciiTheme="minorHAnsi" w:hAnsiTheme="minorHAnsi" w:cs="Calibri"/>
          <w:b/>
          <w:i/>
          <w:lang w:val="es-MX"/>
        </w:rPr>
        <w:t>EL HONORABLE CONGRESO CONSTITUCIONAL DEL ESTADO LIBRE Y SOBERANO DE COLIMA,  EN  EJERCICIO  DE  LAS  FACULTADES  QUE  LE  CONFIEREN LOS ARTÍCULOS 33 FRACCIÓN XL Y 39  DE LA CONSTITUCIÓN POLÍTICA LOCAL, EN NOMBRE DEL PUEBLO, Y ;</w:t>
      </w:r>
    </w:p>
    <w:p w:rsidR="00810F69" w:rsidRPr="0040486F" w:rsidRDefault="00810F69" w:rsidP="00810F69">
      <w:pPr>
        <w:pStyle w:val="ListBullet"/>
        <w:tabs>
          <w:tab w:val="clear" w:pos="360"/>
          <w:tab w:val="left" w:pos="708"/>
        </w:tabs>
        <w:spacing w:after="120"/>
        <w:ind w:left="-142" w:right="-2" w:firstLine="0"/>
        <w:contextualSpacing w:val="0"/>
        <w:jc w:val="both"/>
        <w:rPr>
          <w:rFonts w:asciiTheme="minorHAnsi" w:hAnsiTheme="minorHAnsi" w:cs="Calibri"/>
          <w:b/>
          <w:i/>
          <w:lang w:val="es-MX"/>
        </w:rPr>
      </w:pPr>
    </w:p>
    <w:p w:rsidR="00810F69" w:rsidRPr="0040486F" w:rsidRDefault="00810F69" w:rsidP="00810F69">
      <w:pPr>
        <w:pStyle w:val="BodyText2"/>
        <w:spacing w:after="120"/>
        <w:ind w:left="-142"/>
        <w:jc w:val="center"/>
        <w:rPr>
          <w:rFonts w:asciiTheme="minorHAnsi" w:hAnsiTheme="minorHAnsi" w:cs="Calibri"/>
          <w:b/>
          <w:bCs/>
          <w:i/>
          <w:szCs w:val="24"/>
          <w:lang w:val="es-MX"/>
        </w:rPr>
      </w:pPr>
      <w:r w:rsidRPr="0040486F">
        <w:rPr>
          <w:rFonts w:asciiTheme="minorHAnsi" w:hAnsiTheme="minorHAnsi" w:cs="Calibri"/>
          <w:b/>
          <w:bCs/>
          <w:i/>
          <w:szCs w:val="24"/>
          <w:lang w:val="es-MX"/>
        </w:rPr>
        <w:t>C O N S I D E R A N D O:</w:t>
      </w:r>
    </w:p>
    <w:p w:rsidR="00810F69" w:rsidRPr="0040486F" w:rsidRDefault="00810F69" w:rsidP="00810F69">
      <w:pPr>
        <w:pStyle w:val="BodyText2"/>
        <w:spacing w:after="120"/>
        <w:ind w:left="-142"/>
        <w:jc w:val="center"/>
        <w:rPr>
          <w:rFonts w:asciiTheme="minorHAnsi" w:hAnsiTheme="minorHAnsi" w:cs="Calibri"/>
          <w:b/>
          <w:bCs/>
          <w:i/>
          <w:szCs w:val="24"/>
          <w:lang w:val="es-MX"/>
        </w:rPr>
      </w:pP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PRIMERO</w:t>
      </w:r>
      <w:r w:rsidRPr="0040486F">
        <w:rPr>
          <w:rFonts w:asciiTheme="minorHAnsi" w:eastAsia="Times New Roman" w:hAnsiTheme="minorHAnsi" w:cs="Arial"/>
          <w:i/>
          <w:color w:val="000000" w:themeColor="text1"/>
          <w:sz w:val="24"/>
          <w:szCs w:val="24"/>
          <w:lang w:eastAsia="es-MX"/>
        </w:rPr>
        <w:t xml:space="preserve">.-Que mediante oficio número </w:t>
      </w:r>
      <w:r w:rsidRPr="0040486F">
        <w:rPr>
          <w:rFonts w:asciiTheme="minorHAnsi" w:eastAsia="Times New Roman" w:hAnsiTheme="minorHAnsi" w:cs="Arial"/>
          <w:b/>
          <w:i/>
          <w:color w:val="000000" w:themeColor="text1"/>
          <w:sz w:val="24"/>
          <w:szCs w:val="24"/>
          <w:lang w:eastAsia="es-MX"/>
        </w:rPr>
        <w:t>672/016</w:t>
      </w:r>
      <w:r w:rsidRPr="0040486F">
        <w:rPr>
          <w:rFonts w:asciiTheme="minorHAnsi" w:eastAsia="Times New Roman" w:hAnsiTheme="minorHAnsi" w:cs="Arial"/>
          <w:i/>
          <w:color w:val="000000" w:themeColor="text1"/>
          <w:sz w:val="24"/>
          <w:szCs w:val="24"/>
          <w:lang w:eastAsia="es-MX"/>
        </w:rPr>
        <w:t xml:space="preserve"> de fecha 03 de febrero de 2016, los Diputados Secretarios del Congreso del Estado, en Sesión Pública Ordinaria, turnaron a la Comisión de Estudios Legislativos y Puntos Constitucionales, la Iniciativa relativa a reformar diversas disposiciones de la Ley de Transparencia y Acceso a la Información Pública, presentada por el Diputado Luis Humberto Ladino Ochoa, integrante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SEGUNDO</w:t>
      </w:r>
      <w:r w:rsidRPr="0040486F">
        <w:rPr>
          <w:rFonts w:asciiTheme="minorHAnsi" w:eastAsia="Times New Roman" w:hAnsiTheme="minorHAnsi" w:cs="Arial"/>
          <w:i/>
          <w:color w:val="000000" w:themeColor="text1"/>
          <w:sz w:val="24"/>
          <w:szCs w:val="24"/>
          <w:lang w:eastAsia="es-MX"/>
        </w:rPr>
        <w:t>.- Que la iniciativa presentada por el Diputado Luis Humberto Ladino Ochoa, dentro de su exposición de motivos expresa la urgencia y  trascendencia de armonizar nuestro marco normativo estatal en materia de transparencia, con lo dispuesto en la reforma al artículo 6º Constitucional Federal y lo mandatado en la Ley General de Transparencia y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TERCERO.- </w:t>
      </w:r>
      <w:r w:rsidRPr="0040486F">
        <w:rPr>
          <w:rFonts w:asciiTheme="minorHAnsi" w:eastAsia="Times New Roman" w:hAnsiTheme="minorHAnsi" w:cs="Arial"/>
          <w:i/>
          <w:color w:val="000000" w:themeColor="text1"/>
          <w:sz w:val="24"/>
          <w:szCs w:val="24"/>
          <w:lang w:eastAsia="es-MX"/>
        </w:rPr>
        <w:t>Que mediante oficio número 623/016 de fecha 03 de febrero de 2016, los Diputados Secretarios del Congreso del Estado, en Sesión Pública Ordinaria, turnaron a la Comisión de Estudios Legislativos y Puntos Constitucionales, una Iniciativa presentada por el Diputado Nicolás Contreras Cortés, y demás integrantes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CUARTO.-</w:t>
      </w:r>
      <w:r w:rsidRPr="0040486F">
        <w:rPr>
          <w:rFonts w:asciiTheme="minorHAnsi" w:eastAsia="Times New Roman" w:hAnsiTheme="minorHAnsi" w:cs="Arial"/>
          <w:i/>
          <w:color w:val="000000" w:themeColor="text1"/>
          <w:sz w:val="24"/>
          <w:szCs w:val="24"/>
          <w:lang w:eastAsia="es-MX"/>
        </w:rPr>
        <w:t xml:space="preserve"> Que la iniciativa dentro de su exposición de motivos señala sustancialmente la serie de medidas que diversos entes públicos han adoptado en materia de transparencia, siendo uno de estos la Primera Sala de la Suprema Corte de Justicia de la Nación, cuyas sesiones son transmitidas en vivo </w:t>
      </w:r>
      <w:r w:rsidRPr="0040486F">
        <w:rPr>
          <w:rFonts w:asciiTheme="minorHAnsi" w:eastAsia="Times New Roman" w:hAnsiTheme="minorHAnsi" w:cs="Arial"/>
          <w:i/>
          <w:color w:val="000000" w:themeColor="text1"/>
          <w:sz w:val="24"/>
          <w:szCs w:val="24"/>
          <w:lang w:eastAsia="es-MX"/>
        </w:rPr>
        <w:lastRenderedPageBreak/>
        <w:t xml:space="preserve">mediante el Canal Judicial y por internet. De igual forma, esta práctica se realiza en el Tribunal Electoral del Poder Judicial de la Federación y en las dos Cámaras depositarias del Congreso de la Unión.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Asimismo, señala que el Congreso del Estado de Colima, es el único órgano colegiado de la entidad que videograba y transmite en vivo las Sesiones del Pleno; aprovechando las tecnologías de la información, como lo es el internet; acercando y enterando a los ciudadanos del quehacer legislativo de los Diputados Locales.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QUINTO.-</w:t>
      </w:r>
      <w:r w:rsidRPr="0040486F">
        <w:rPr>
          <w:rFonts w:asciiTheme="minorHAnsi" w:eastAsia="Times New Roman" w:hAnsiTheme="minorHAnsi" w:cs="Arial"/>
          <w:i/>
          <w:color w:val="000000" w:themeColor="text1"/>
          <w:sz w:val="24"/>
          <w:szCs w:val="24"/>
          <w:lang w:eastAsia="es-MX"/>
        </w:rPr>
        <w:t xml:space="preserve"> Que mediante oficio número </w:t>
      </w:r>
      <w:r w:rsidRPr="0040486F">
        <w:rPr>
          <w:rFonts w:asciiTheme="minorHAnsi" w:eastAsia="Times New Roman" w:hAnsiTheme="minorHAnsi" w:cs="Arial"/>
          <w:b/>
          <w:i/>
          <w:color w:val="000000" w:themeColor="text1"/>
          <w:sz w:val="24"/>
          <w:szCs w:val="24"/>
          <w:lang w:eastAsia="es-MX"/>
        </w:rPr>
        <w:t>691/016</w:t>
      </w:r>
      <w:r w:rsidRPr="0040486F">
        <w:rPr>
          <w:rFonts w:asciiTheme="minorHAnsi" w:eastAsia="Times New Roman" w:hAnsiTheme="minorHAnsi" w:cs="Arial"/>
          <w:i/>
          <w:color w:val="000000" w:themeColor="text1"/>
          <w:sz w:val="24"/>
          <w:szCs w:val="24"/>
          <w:lang w:eastAsia="es-MX"/>
        </w:rPr>
        <w:t xml:space="preserve"> de fecha 15 de febrero de 2016, los Diputados Secretarios del Congreso del Estado, en Sesión Pública Ordinaria, turnaron a la Comisión de Estudios Legislativos y Puntos Constitucionales, la Iniciativa por medio de la cual se crea una nueva Ley en materia de Transparencia y Acceso a la Información Pública, presentada por el Titular del Poder Ejecutivo en el Estado.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SEXTO.- </w:t>
      </w:r>
      <w:r w:rsidRPr="0040486F">
        <w:rPr>
          <w:rFonts w:asciiTheme="minorHAnsi" w:eastAsia="Times New Roman" w:hAnsiTheme="minorHAnsi" w:cs="Arial"/>
          <w:i/>
          <w:color w:val="000000" w:themeColor="text1"/>
          <w:sz w:val="24"/>
          <w:szCs w:val="24"/>
          <w:lang w:eastAsia="es-MX"/>
        </w:rPr>
        <w:t xml:space="preserve">Que la iniciativa citada en el párrafo que antecede, se divide en tres apartados, siendo el primero el de “Antecedentes”;  que esencialmente detalla la serie de reformas que ha sufrido la Constitución Política de los Estados Unidos Mexicanos, las leyes generales y locales en materia de Transparencia y Acceso a la Información Pública.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color w:val="000000" w:themeColor="text1"/>
          <w:sz w:val="24"/>
          <w:szCs w:val="24"/>
          <w:lang w:eastAsia="es-ES"/>
        </w:rPr>
        <w:t xml:space="preserve">De igual forma, la iniciativa expresa lo mandatado por </w:t>
      </w:r>
      <w:r w:rsidRPr="0040486F">
        <w:rPr>
          <w:rFonts w:asciiTheme="minorHAnsi" w:eastAsia="Times New Roman" w:hAnsiTheme="minorHAnsi" w:cs="Arial"/>
          <w:i/>
          <w:sz w:val="24"/>
          <w:szCs w:val="24"/>
          <w:lang w:eastAsia="es-ES"/>
        </w:rPr>
        <w:t>la reforma constitucional del 4 de mayo de 2015, mediante la cual se publicó en el Diario Oficial de la Federación la nueva Ley General de Transparencia y Acceso a la Información Pública, que en su artículo quinto transitorio estableció la siguiente obligación:</w:t>
      </w:r>
    </w:p>
    <w:p w:rsidR="00810F69" w:rsidRPr="004211FE" w:rsidRDefault="00810F69" w:rsidP="00810F69">
      <w:pPr>
        <w:spacing w:after="120" w:line="240" w:lineRule="auto"/>
        <w:ind w:left="-142"/>
        <w:jc w:val="both"/>
        <w:rPr>
          <w:rFonts w:asciiTheme="minorHAnsi" w:eastAsia="Times New Roman" w:hAnsiTheme="minorHAnsi" w:cs="Arial"/>
          <w:b/>
          <w:i/>
          <w:color w:val="FF0000"/>
          <w:sz w:val="24"/>
          <w:szCs w:val="24"/>
          <w:lang w:eastAsia="es-ES"/>
        </w:rPr>
      </w:pPr>
      <w:r w:rsidRPr="00B84006">
        <w:rPr>
          <w:rFonts w:asciiTheme="minorHAnsi" w:eastAsia="Times New Roman" w:hAnsiTheme="minorHAnsi" w:cs="Arial"/>
          <w:b/>
          <w:i/>
          <w:sz w:val="24"/>
          <w:szCs w:val="24"/>
          <w:lang w:eastAsia="es-ES"/>
        </w:rPr>
        <w:t>Quinto.- El Congreso de la Unión, las Legislaturas de los Estados y la Asamblea Legislativa del Distrito Federal, tendrá un plazo de hasta un año, contado a partir de la entrada en vigor del presente Decreto, para armonizar las leyes relativas</w:t>
      </w:r>
      <w:r w:rsidRPr="00B84006">
        <w:rPr>
          <w:rFonts w:asciiTheme="minorHAnsi" w:eastAsia="Times New Roman" w:hAnsiTheme="minorHAnsi" w:cs="Arial"/>
          <w:i/>
          <w:sz w:val="24"/>
          <w:szCs w:val="24"/>
          <w:lang w:eastAsia="es-ES"/>
        </w:rPr>
        <w:t>, conforme a lo establecido en esta Ley. Transcurrido dicho plazo, el Instituto será competente para conocer de los medios de impugnación que se presenten de conformidad con la presente Ley.</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color w:val="000000" w:themeColor="text1"/>
          <w:sz w:val="24"/>
          <w:szCs w:val="24"/>
          <w:lang w:eastAsia="es-MX"/>
        </w:rPr>
        <w:t xml:space="preserve">Por consiguiente, el Titular del Poder Ejecutivo plasmó la necesidad de armonizar la legislación local en concordancia con la reforma a la Constitución Federal, misma que expidió </w:t>
      </w:r>
      <w:r w:rsidRPr="0040486F">
        <w:rPr>
          <w:rFonts w:asciiTheme="minorHAnsi" w:eastAsia="Times New Roman" w:hAnsiTheme="minorHAnsi" w:cs="Arial"/>
          <w:i/>
          <w:sz w:val="24"/>
          <w:szCs w:val="24"/>
          <w:lang w:eastAsia="es-MX"/>
        </w:rPr>
        <w:t>la nueva Ley General de Transparencia y Acceso a la Información Pública; así pues, buscando que la normatividad de la Entidad exprese las directrices inmersas en la citada Ley General.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SÉPTIMO.- </w:t>
      </w:r>
      <w:r w:rsidRPr="0040486F">
        <w:rPr>
          <w:rFonts w:asciiTheme="minorHAnsi" w:eastAsia="Times New Roman" w:hAnsiTheme="minorHAnsi" w:cs="Arial"/>
          <w:i/>
          <w:color w:val="000000" w:themeColor="text1"/>
          <w:sz w:val="24"/>
          <w:szCs w:val="24"/>
          <w:lang w:eastAsia="es-MX"/>
        </w:rPr>
        <w:t xml:space="preserve">Que mediante oficio número </w:t>
      </w:r>
      <w:r w:rsidRPr="0040486F">
        <w:rPr>
          <w:rFonts w:asciiTheme="minorHAnsi" w:eastAsia="Times New Roman" w:hAnsiTheme="minorHAnsi" w:cs="Arial"/>
          <w:b/>
          <w:i/>
          <w:color w:val="000000" w:themeColor="text1"/>
          <w:sz w:val="24"/>
          <w:szCs w:val="24"/>
          <w:lang w:eastAsia="es-MX"/>
        </w:rPr>
        <w:t>DPL/312/016</w:t>
      </w:r>
      <w:r w:rsidRPr="0040486F">
        <w:rPr>
          <w:rFonts w:asciiTheme="minorHAnsi" w:eastAsia="Times New Roman" w:hAnsiTheme="minorHAnsi" w:cs="Arial"/>
          <w:i/>
          <w:color w:val="000000" w:themeColor="text1"/>
          <w:sz w:val="24"/>
          <w:szCs w:val="24"/>
          <w:lang w:eastAsia="es-MX"/>
        </w:rPr>
        <w:t xml:space="preserve"> de fecha 04 de abril de 2016, los Diputados Secretarios del Congreso del Estado, en Sesión Pública Ordinaria, turnaron a la Comisión de Estudios Legislativos y Puntos Constitucionales, la Iniciativa relativa a reformar diversas disposiciones Ley de Transparencia y Acceso a la Información Pública, presentada por la Diputada Martha Leticia Sosa Govea y demás integrantes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OCTAVO.- </w:t>
      </w:r>
      <w:r w:rsidRPr="0040486F">
        <w:rPr>
          <w:rFonts w:asciiTheme="minorHAnsi" w:eastAsia="Times New Roman" w:hAnsiTheme="minorHAnsi" w:cs="Arial"/>
          <w:i/>
          <w:color w:val="000000" w:themeColor="text1"/>
          <w:sz w:val="24"/>
          <w:szCs w:val="24"/>
          <w:lang w:eastAsia="es-MX"/>
        </w:rPr>
        <w:t xml:space="preserve">Que la iniciativa plasmada en el párrafo anterior, sustancialmente señala la pretensión de la iniciadora en el sentido de adoptar en la normatividad estatal, las disposiciones vertidas en el artículo 6º de la Constitución Federal y su reglamentaria Ley General de Transparencia y Acceso a la Información Pública; dispositivo normativo que tiene como objeto: “(…) establecer los principios, bases generales y procedimientos para garantizar el derecho de acceso a la información en posesión de cualquier autoridad, entidad, órgano y organismo de los poderes Legislativo, Ejecutivo y Judicial, órganos </w:t>
      </w:r>
      <w:r w:rsidRPr="0040486F">
        <w:rPr>
          <w:rFonts w:asciiTheme="minorHAnsi" w:eastAsia="Times New Roman" w:hAnsiTheme="minorHAnsi" w:cs="Arial"/>
          <w:i/>
          <w:color w:val="000000" w:themeColor="text1"/>
          <w:sz w:val="24"/>
          <w:szCs w:val="24"/>
          <w:lang w:eastAsia="es-MX"/>
        </w:rPr>
        <w:lastRenderedPageBreak/>
        <w:t xml:space="preserve">autónomos, partidos políticos, fideicomisos y fondos públicos, así como de cualquier persona física, moral o sindicato que reciba y ejerza recursos públicos o realice actos de autoridad de la Federación, las Entidades Federativas y los municipios”.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NOVENO.- </w:t>
      </w:r>
      <w:r w:rsidRPr="0040486F">
        <w:rPr>
          <w:rFonts w:asciiTheme="minorHAnsi" w:eastAsia="Times New Roman" w:hAnsiTheme="minorHAnsi" w:cs="Arial"/>
          <w:i/>
          <w:color w:val="000000" w:themeColor="text1"/>
          <w:sz w:val="24"/>
          <w:szCs w:val="24"/>
          <w:lang w:eastAsia="es-MX"/>
        </w:rPr>
        <w:t>Que esta Comisión responsable de dictaminar las iniciativas citadas en párrafos anteriores, y por tratarse de asuntos convergentes, dictará una opinión general, ponderando la coincidencia que se tiene en crear un nuevo dispositivo legal, cuyo texto esté actualizado y debidamente armonizado con la legislación general. En el entendido que se atenderán las definiciones y redacción que más favorezca a la protección y plena implementación del derecho humano de acceso a la información pública y transparencia. En resumen, las iniciativas inherentes a reformar la actual Ley de Transparencia y Acceso a la Información Pública del Estado de Colima, serán integradas en el Proyecto de Ley vertido en el resolutivo del presente dictamen.</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color w:val="000000" w:themeColor="text1"/>
          <w:sz w:val="24"/>
          <w:szCs w:val="24"/>
          <w:lang w:eastAsia="es-MX"/>
        </w:rPr>
        <w:t xml:space="preserve">Al respecto, se contempló que el génesis del derecho de acceso a la información pública se vierte en los artículos 1º y 6º de la Constitución Política de los Estados Unidos Mexicanos, el primero en el entendido que </w:t>
      </w:r>
      <w:r w:rsidRPr="00B84006">
        <w:rPr>
          <w:rFonts w:asciiTheme="minorHAnsi" w:eastAsia="Times New Roman" w:hAnsiTheme="minorHAnsi" w:cs="Arial"/>
          <w:i/>
          <w:color w:val="000000" w:themeColor="text1"/>
          <w:sz w:val="24"/>
          <w:szCs w:val="24"/>
          <w:lang w:eastAsia="es-MX"/>
        </w:rPr>
        <w:t>nuestra nación ha celebrado</w:t>
      </w:r>
      <w:r>
        <w:rPr>
          <w:rFonts w:asciiTheme="minorHAnsi" w:eastAsia="Times New Roman" w:hAnsiTheme="minorHAnsi" w:cs="Arial"/>
          <w:i/>
          <w:color w:val="000000" w:themeColor="text1"/>
          <w:sz w:val="24"/>
          <w:szCs w:val="24"/>
          <w:lang w:eastAsia="es-MX"/>
        </w:rPr>
        <w:t xml:space="preserve"> </w:t>
      </w:r>
      <w:r w:rsidRPr="0040486F">
        <w:rPr>
          <w:rFonts w:asciiTheme="minorHAnsi" w:eastAsia="Times New Roman" w:hAnsiTheme="minorHAnsi" w:cs="Arial"/>
          <w:i/>
          <w:color w:val="000000" w:themeColor="text1"/>
          <w:sz w:val="24"/>
          <w:szCs w:val="24"/>
          <w:lang w:eastAsia="es-MX"/>
        </w:rPr>
        <w:t xml:space="preserve">tratados internacionales en esta materia, y el segundo mandato citado trata exclusivamente el derecho humano inherente a que “El derecho a la información será garantizado por el Estado”. Y “Toda persona tiene derecho al libre acceso a información plural y oportuna, así como a buscar, recibir y difundir información e ideas de toda índole por cualquier medio de expresión”. A su vez, </w:t>
      </w:r>
      <w:r w:rsidRPr="0040486F">
        <w:rPr>
          <w:rFonts w:asciiTheme="minorHAnsi" w:eastAsia="Times New Roman" w:hAnsiTheme="minorHAnsi" w:cs="Arial"/>
          <w:i/>
          <w:sz w:val="24"/>
          <w:szCs w:val="24"/>
          <w:lang w:eastAsia="es-MX"/>
        </w:rPr>
        <w:t>la Constitución Política del Estado Libre y Soberano de Colima</w:t>
      </w:r>
      <w:r w:rsidRPr="0040486F">
        <w:rPr>
          <w:rFonts w:asciiTheme="minorHAnsi" w:eastAsia="Times New Roman" w:hAnsiTheme="minorHAnsi" w:cs="Arial"/>
          <w:i/>
          <w:color w:val="000000" w:themeColor="text1"/>
          <w:sz w:val="24"/>
          <w:szCs w:val="24"/>
          <w:lang w:eastAsia="es-MX"/>
        </w:rPr>
        <w:t xml:space="preserve"> en su artículo </w:t>
      </w:r>
      <w:r w:rsidRPr="0040486F">
        <w:rPr>
          <w:rFonts w:asciiTheme="minorHAnsi" w:eastAsia="Times New Roman" w:hAnsiTheme="minorHAnsi" w:cs="Arial"/>
          <w:i/>
          <w:sz w:val="24"/>
          <w:szCs w:val="24"/>
          <w:lang w:eastAsia="es-MX"/>
        </w:rPr>
        <w:t>1º, fracción IV mandata lo referente a la materia en estudio.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Nuestro país, ha firmado numerables tratados internacionales que contemplan el acceso a la información pública. “Desde la expresión multilateral del artículo 19 de la Declaración Universal de los Derechos Humanos; pasando por el plano regional, que en el ámbito interamericano está expresado este derecho en el Pacto Internacional de Derechos Civiles y Políticos de 1966 (artículo 19), la Convención Americana sobre Derechos Humanos de 1969 (artículo 13) y el reconocimiento pleno en el caso Claude Reyes y otros vs. Chile de 2006, confirmando y reconociendo este derecho fundamental. Recientemente el Comité Jurídico Interamericano, en su 73 sesión de invierno austral, en el Palacio </w:t>
      </w:r>
      <w:r w:rsidRPr="00B84006">
        <w:rPr>
          <w:rFonts w:asciiTheme="minorHAnsi" w:eastAsia="Times New Roman" w:hAnsiTheme="minorHAnsi" w:cs="Arial"/>
          <w:i/>
          <w:color w:val="000000" w:themeColor="text1"/>
          <w:sz w:val="24"/>
          <w:szCs w:val="24"/>
          <w:lang w:eastAsia="es-MX"/>
        </w:rPr>
        <w:t>de Itamaratí, Río</w:t>
      </w:r>
      <w:r w:rsidRPr="0040486F">
        <w:rPr>
          <w:rFonts w:asciiTheme="minorHAnsi" w:eastAsia="Times New Roman" w:hAnsiTheme="minorHAnsi" w:cs="Arial"/>
          <w:i/>
          <w:color w:val="000000" w:themeColor="text1"/>
          <w:sz w:val="24"/>
          <w:szCs w:val="24"/>
          <w:lang w:eastAsia="es-MX"/>
        </w:rPr>
        <w:t xml:space="preserve"> de Janeiro, Brasil, promulgó el documento Principios sobre el derecho de acceso a la información, que contiene 10 disposiciones al respecto.</w:t>
      </w:r>
      <w:r w:rsidRPr="0040486F">
        <w:rPr>
          <w:rFonts w:asciiTheme="minorHAnsi" w:eastAsia="Times New Roman" w:hAnsiTheme="minorHAnsi" w:cs="Arial"/>
          <w:i/>
          <w:color w:val="000000" w:themeColor="text1"/>
          <w:sz w:val="24"/>
          <w:szCs w:val="24"/>
          <w:vertAlign w:val="superscript"/>
          <w:lang w:eastAsia="es-MX"/>
        </w:rPr>
        <w:footnoteReference w:id="1"/>
      </w:r>
      <w:r w:rsidRPr="0040486F">
        <w:rPr>
          <w:rFonts w:asciiTheme="minorHAnsi" w:eastAsia="Times New Roman" w:hAnsiTheme="minorHAnsi" w:cs="Arial"/>
          <w:i/>
          <w:color w:val="000000" w:themeColor="text1"/>
          <w:sz w:val="24"/>
          <w:szCs w:val="24"/>
          <w:lang w:eastAsia="es-MX"/>
        </w:rPr>
        <w:t>”</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 lo anterior, esta Comisión que dictamina, coincide en todos y cada uno de los términos de las pretensiones de los iniciadores, pero se conviene en que el texto legal por crear, debe homologarse con la parte dogmática de nuestra Carta Fundamental, en el entendido de que es un derecho humano el inherente al acceso a la información pública en posesión de todos los entes depositarios del Poder gubernamental, en sus tres órdenes e instancias, así como todos los organismos que reciban recursos públicos.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No obsta lo anterior, que con la creación de una nueva Ley en Materia de transparencia, se implementarán mecanismos y procedimientos de revisión expeditos que permitirán que el acceso a la</w:t>
      </w:r>
      <w:r>
        <w:rPr>
          <w:rFonts w:asciiTheme="minorHAnsi" w:eastAsia="Times New Roman" w:hAnsiTheme="minorHAnsi" w:cs="Arial"/>
          <w:i/>
          <w:color w:val="000000" w:themeColor="text1"/>
          <w:sz w:val="24"/>
          <w:szCs w:val="24"/>
          <w:lang w:eastAsia="es-MX"/>
        </w:rPr>
        <w:t xml:space="preserve"> </w:t>
      </w:r>
      <w:r w:rsidRPr="0040486F">
        <w:rPr>
          <w:rFonts w:asciiTheme="minorHAnsi" w:eastAsia="Times New Roman" w:hAnsiTheme="minorHAnsi" w:cs="Arial"/>
          <w:i/>
          <w:color w:val="000000" w:themeColor="text1"/>
          <w:sz w:val="24"/>
          <w:szCs w:val="24"/>
          <w:lang w:eastAsia="es-MX"/>
        </w:rPr>
        <w:lastRenderedPageBreak/>
        <w:t>información sea más rápido y sencillo; con un organismo que será garante del derecho humano al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sz w:val="24"/>
          <w:szCs w:val="24"/>
          <w:lang w:eastAsia="es-MX"/>
        </w:rPr>
        <w:t xml:space="preserve">Esta Comisión Dictaminadora, </w:t>
      </w:r>
      <w:r w:rsidRPr="00B84006">
        <w:rPr>
          <w:rFonts w:asciiTheme="minorHAnsi" w:eastAsia="Times New Roman" w:hAnsiTheme="minorHAnsi" w:cs="Arial"/>
          <w:i/>
          <w:sz w:val="24"/>
          <w:szCs w:val="24"/>
          <w:lang w:eastAsia="es-MX"/>
        </w:rPr>
        <w:t>observó y determinó procedente las observaciones y sugerencias que tuvo a bien realizar el Instituto Nacional de Transparencia, Acceso a la Información y Protección de Datos Personales con el propósito de fortalecer las iniciativas presentadas por el Lic. José Ignacio Peralta Sánchez, Titular del Poder Ejecutivo del Estado, el diputado</w:t>
      </w:r>
      <w:r w:rsidRPr="0040486F">
        <w:rPr>
          <w:rFonts w:asciiTheme="minorHAnsi" w:eastAsia="Times New Roman" w:hAnsiTheme="minorHAnsi" w:cs="Arial"/>
          <w:i/>
          <w:sz w:val="24"/>
          <w:szCs w:val="24"/>
          <w:lang w:eastAsia="es-MX"/>
        </w:rPr>
        <w:t xml:space="preserve"> Luis Humberto Ladino Ochoa, el Diputado Nicolás Contreras Cortes y la Diputada Martha Leticia Sosa Govea, las cuales se consideran oportunas y valiosas. Por ende esta Comisión las incorpora al cuerpo normativo contenido en el presente dictamen, con el fin de dotarlo de mayor viabilidad técnica y jurídica.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Por otra parte, esta Soberanía Legislativa atiende los mandatos emanados del Congreso de la Unión, que es el caso que nos ocupa; de ahí que el presente documento es tratado dentro </w:t>
      </w:r>
      <w:r w:rsidRPr="00B84006">
        <w:rPr>
          <w:rFonts w:asciiTheme="minorHAnsi" w:eastAsia="Times New Roman" w:hAnsiTheme="minorHAnsi" w:cs="Arial"/>
          <w:i/>
          <w:color w:val="000000" w:themeColor="text1"/>
          <w:sz w:val="24"/>
          <w:szCs w:val="24"/>
          <w:lang w:eastAsia="es-MX"/>
        </w:rPr>
        <w:t xml:space="preserve">del plazo </w:t>
      </w:r>
      <w:r w:rsidRPr="0040486F">
        <w:rPr>
          <w:rFonts w:asciiTheme="minorHAnsi" w:eastAsia="Times New Roman" w:hAnsiTheme="minorHAnsi" w:cs="Arial"/>
          <w:i/>
          <w:color w:val="000000" w:themeColor="text1"/>
          <w:sz w:val="24"/>
          <w:szCs w:val="24"/>
          <w:lang w:eastAsia="es-MX"/>
        </w:rPr>
        <w:t xml:space="preserve">ya vertido en el Cuarto considerando de este mismo dictamen. </w:t>
      </w:r>
      <w:r w:rsidRPr="00B84006">
        <w:rPr>
          <w:rFonts w:asciiTheme="minorHAnsi" w:eastAsia="Times New Roman" w:hAnsiTheme="minorHAnsi" w:cs="Arial"/>
          <w:i/>
          <w:color w:val="000000" w:themeColor="text1"/>
          <w:sz w:val="24"/>
          <w:szCs w:val="24"/>
          <w:lang w:eastAsia="es-MX"/>
        </w:rPr>
        <w:t>Por tanto la homologación de la normatividad local, hacia con la general, se realizará en tiempo y forma. E</w:t>
      </w:r>
      <w:r w:rsidRPr="0040486F">
        <w:rPr>
          <w:rFonts w:asciiTheme="minorHAnsi" w:eastAsia="Times New Roman" w:hAnsiTheme="minorHAnsi" w:cs="Arial"/>
          <w:i/>
          <w:color w:val="000000" w:themeColor="text1"/>
          <w:sz w:val="24"/>
          <w:szCs w:val="24"/>
          <w:lang w:eastAsia="es-MX"/>
        </w:rPr>
        <w:t>n ese tenor, el dispositivo legal que se propone, se conforma de la siguiente manera:</w:t>
      </w:r>
    </w:p>
    <w:p w:rsidR="00810F69" w:rsidRPr="0040486F" w:rsidRDefault="00810F69" w:rsidP="00810F69">
      <w:pPr>
        <w:numPr>
          <w:ilvl w:val="0"/>
          <w:numId w:val="12"/>
        </w:numPr>
        <w:spacing w:after="120" w:line="240" w:lineRule="auto"/>
        <w:ind w:left="-142" w:right="51"/>
        <w:jc w:val="both"/>
        <w:rPr>
          <w:rFonts w:asciiTheme="minorHAnsi" w:eastAsia="Times New Roman" w:hAnsiTheme="minorHAnsi" w:cs="Arial"/>
          <w:i/>
          <w:color w:val="000000" w:themeColor="text1"/>
          <w:sz w:val="24"/>
          <w:szCs w:val="24"/>
          <w:lang w:eastAsia="es-ES"/>
        </w:rPr>
      </w:pPr>
      <w:r w:rsidRPr="0040486F">
        <w:rPr>
          <w:rFonts w:asciiTheme="minorHAnsi" w:eastAsia="Times New Roman" w:hAnsiTheme="minorHAnsi" w:cs="Arial"/>
          <w:i/>
          <w:color w:val="000000" w:themeColor="text1"/>
          <w:sz w:val="24"/>
          <w:szCs w:val="24"/>
          <w:lang w:eastAsia="es-ES"/>
        </w:rPr>
        <w:t xml:space="preserve">El </w:t>
      </w:r>
      <w:r w:rsidRPr="0040486F">
        <w:rPr>
          <w:rFonts w:asciiTheme="minorHAnsi" w:eastAsia="Times New Roman" w:hAnsiTheme="minorHAnsi" w:cs="Arial"/>
          <w:b/>
          <w:i/>
          <w:color w:val="000000" w:themeColor="text1"/>
          <w:sz w:val="24"/>
          <w:szCs w:val="24"/>
          <w:lang w:eastAsia="es-ES"/>
        </w:rPr>
        <w:t>Título Primero</w:t>
      </w:r>
      <w:r w:rsidRPr="0040486F">
        <w:rPr>
          <w:rFonts w:asciiTheme="minorHAnsi" w:eastAsia="Times New Roman" w:hAnsiTheme="minorHAnsi" w:cs="Arial"/>
          <w:i/>
          <w:color w:val="000000" w:themeColor="text1"/>
          <w:sz w:val="24"/>
          <w:szCs w:val="24"/>
          <w:lang w:eastAsia="es-ES"/>
        </w:rPr>
        <w:t xml:space="preserve"> de las </w:t>
      </w:r>
      <w:r w:rsidRPr="0040486F">
        <w:rPr>
          <w:rFonts w:asciiTheme="minorHAnsi" w:eastAsia="Times New Roman" w:hAnsiTheme="minorHAnsi" w:cs="Arial"/>
          <w:b/>
          <w:i/>
          <w:color w:val="000000" w:themeColor="text1"/>
          <w:sz w:val="24"/>
          <w:szCs w:val="24"/>
          <w:lang w:eastAsia="es-ES"/>
        </w:rPr>
        <w:t>“Disposiciones Generales”</w:t>
      </w:r>
      <w:r w:rsidRPr="0040486F">
        <w:rPr>
          <w:rFonts w:asciiTheme="minorHAnsi" w:eastAsia="Times New Roman" w:hAnsiTheme="minorHAnsi" w:cs="Arial"/>
          <w:i/>
          <w:color w:val="000000" w:themeColor="text1"/>
          <w:sz w:val="24"/>
          <w:szCs w:val="24"/>
          <w:lang w:eastAsia="es-ES"/>
        </w:rPr>
        <w:t xml:space="preserve"> se integra por dos capítulos y 11 artículos: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capítulo I </w:t>
      </w:r>
      <w:r w:rsidRPr="00B84006">
        <w:rPr>
          <w:rFonts w:asciiTheme="minorHAnsi" w:eastAsia="Times New Roman" w:hAnsiTheme="minorHAnsi" w:cs="Arial"/>
          <w:i/>
          <w:color w:val="000000" w:themeColor="text1"/>
          <w:sz w:val="24"/>
          <w:szCs w:val="24"/>
          <w:lang w:eastAsia="es-MX"/>
        </w:rPr>
        <w:t>denominado “</w:t>
      </w:r>
      <w:r w:rsidRPr="00B84006">
        <w:rPr>
          <w:rFonts w:asciiTheme="minorHAnsi" w:eastAsia="Times New Roman" w:hAnsiTheme="minorHAnsi" w:cs="Arial"/>
          <w:b/>
          <w:i/>
          <w:color w:val="000000" w:themeColor="text1"/>
          <w:sz w:val="24"/>
          <w:szCs w:val="24"/>
          <w:lang w:eastAsia="es-MX"/>
        </w:rPr>
        <w:t>Del objeto de la Ley</w:t>
      </w:r>
      <w:r w:rsidRPr="00B84006">
        <w:rPr>
          <w:rFonts w:asciiTheme="minorHAnsi" w:eastAsia="Times New Roman" w:hAnsiTheme="minorHAnsi" w:cs="Arial"/>
          <w:i/>
          <w:color w:val="000000" w:themeColor="text1"/>
          <w:sz w:val="24"/>
          <w:szCs w:val="24"/>
          <w:lang w:eastAsia="es-MX"/>
        </w:rPr>
        <w:t>”, en</w:t>
      </w:r>
      <w:r w:rsidRPr="00F36FEF">
        <w:rPr>
          <w:rFonts w:asciiTheme="minorHAnsi" w:eastAsia="Times New Roman" w:hAnsiTheme="minorHAnsi" w:cs="Arial"/>
          <w:i/>
          <w:color w:val="000000" w:themeColor="text1"/>
          <w:sz w:val="24"/>
          <w:szCs w:val="24"/>
          <w:lang w:eastAsia="es-MX"/>
        </w:rPr>
        <w:t xml:space="preserve"> el cual se abordan los temas de la territorialidad de su aplicación en el Estado de Colima, se define</w:t>
      </w:r>
      <w:r w:rsidRPr="0040486F">
        <w:rPr>
          <w:rFonts w:asciiTheme="minorHAnsi" w:eastAsia="Times New Roman" w:hAnsiTheme="minorHAnsi" w:cs="Arial"/>
          <w:i/>
          <w:color w:val="000000" w:themeColor="text1"/>
          <w:sz w:val="24"/>
          <w:szCs w:val="24"/>
          <w:lang w:eastAsia="es-MX"/>
        </w:rPr>
        <w:t xml:space="preserve"> su objeto mismo que consiste en establecer las condiciones a que se sujetarán las entidades públicas para transparentar su actividad gubernamental, los mecanismos de coordinación con el Sistema Nacional de Transparencia, del que formarán parte los organismos garantes de todo el País, así como garantizar el derecho de toda persona para tener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 la obligación de interpretar el derecho de acceso a la información pública aplicando el principio pro persona establecido en la Constitución Política de los Estados Unidos Mexicanos, la Declaración Universal de los Derechos Humanos, la Declaración Universal de Derechos Civiles y Políticos, la Convención Americana sobre Derechos Humanos, la Convención sobre la Eliminación de todas las Formas de Discriminación contra la Mujer, los instrumentos internacionales suscritos y ratificados por el Estado Mexicano y la interpretación que de los mismos hayan realizados los órganos internacionales especializados, la Ley General de Transparencia y Acceso a la Información Pública y la Constitución Política del Estado Libre y Soberano de Colima.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 igual forma, se inserta un precepto de definiciones en el que se incluyen los términos que con mayor frecuencia se emplean en el propio documento, apartado en el que se modifica la concepción y definición del órgano máximo de gobierno del Organismo Garante para establecer la figura del Comisionado en sustitución del Consejero que actualmente funciona, a la vez que incluye la definición de datos abiertos, considerando entre sus características que sean accesibles, integrales, gratuitos, no discriminatorios, oportunos, permanentes, primarios, legibles por máquinas, de fácil acceso y de libre uso.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w:t>
      </w:r>
      <w:r w:rsidRPr="00B84006">
        <w:rPr>
          <w:rFonts w:asciiTheme="minorHAnsi" w:eastAsia="Times New Roman" w:hAnsiTheme="minorHAnsi" w:cs="Arial"/>
          <w:i/>
          <w:color w:val="000000" w:themeColor="text1"/>
          <w:sz w:val="24"/>
          <w:szCs w:val="24"/>
          <w:lang w:eastAsia="es-MX"/>
        </w:rPr>
        <w:t xml:space="preserve">el </w:t>
      </w:r>
      <w:r w:rsidRPr="00B84006">
        <w:rPr>
          <w:rFonts w:asciiTheme="minorHAnsi" w:eastAsia="Times New Roman" w:hAnsiTheme="minorHAnsi" w:cs="Arial"/>
          <w:b/>
          <w:i/>
          <w:color w:val="000000" w:themeColor="text1"/>
          <w:sz w:val="24"/>
          <w:szCs w:val="24"/>
          <w:lang w:eastAsia="es-MX"/>
        </w:rPr>
        <w:t>capítulo II denominado “De los principios rectores del derecho de acceso a la información”</w:t>
      </w:r>
      <w:r w:rsidRPr="00B84006">
        <w:rPr>
          <w:rFonts w:asciiTheme="minorHAnsi" w:eastAsia="Times New Roman" w:hAnsiTheme="minorHAnsi" w:cs="Arial"/>
          <w:i/>
          <w:color w:val="000000" w:themeColor="text1"/>
          <w:sz w:val="24"/>
          <w:szCs w:val="24"/>
          <w:lang w:eastAsia="es-MX"/>
        </w:rPr>
        <w:t>, señala el derecho humano de toda persona a conocer la información que posean los sujetos</w:t>
      </w:r>
      <w:r w:rsidRPr="0040486F">
        <w:rPr>
          <w:rFonts w:asciiTheme="minorHAnsi" w:eastAsia="Times New Roman" w:hAnsiTheme="minorHAnsi" w:cs="Arial"/>
          <w:i/>
          <w:color w:val="000000" w:themeColor="text1"/>
          <w:sz w:val="24"/>
          <w:szCs w:val="24"/>
          <w:lang w:eastAsia="es-MX"/>
        </w:rPr>
        <w:t xml:space="preserve"> obligados, consagrando la naturaleza pública de la misma con las únicas excepciones de que sea reservada o confidencial, en el entendido de que el derecho de acceso a la información y la clasificación de ésta se interpretará bajo los principios de gratuidad, de interés general, de libre acceso, máxima publicidad, </w:t>
      </w:r>
      <w:r w:rsidRPr="0040486F">
        <w:rPr>
          <w:rFonts w:asciiTheme="minorHAnsi" w:eastAsia="Times New Roman" w:hAnsiTheme="minorHAnsi" w:cs="Arial"/>
          <w:i/>
          <w:color w:val="000000" w:themeColor="text1"/>
          <w:sz w:val="24"/>
          <w:szCs w:val="24"/>
          <w:lang w:eastAsia="es-MX"/>
        </w:rPr>
        <w:lastRenderedPageBreak/>
        <w:t xml:space="preserve">mínima formalidad, sencillez y celeridad, como elementos de los procedimientos y trámites relativos al acceso a la información pública y la suplencia de la deficiencia que supone la entrega de información aún ante la falta de requisitos formales que presenten las solicitudes de información.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define que el derecho de acceso a la información pública comprende el solicitar, investigar, difundir, buscar y recibir información, y que en la interpretación de dicho derecho debe atenderse al principio de máxima publicidad y, en caso de duda sobre la clasificación de la información deberá optarse por su publicidad o por la elaboración de versiones públicas.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la propuesta contenida en el presente dictamen se establece la obligación de los servidores públicos en la custodia de la información que produzcan, recopilen, administren, manejen, procesen, archiven o conserven y se considera la presunción de existencia de la información en los supuestos en que las entidades públicas se encuentren obligadas a generarla en atención a sus funciones legalmente conferidas, correspondiendo a ellas en todo caso acreditar las causas de su inexistencia; se precisa además que la entrega de información deberá realizarse en el medio físico que elija el solicitante, así como el carácter de intransferible para la información confidencial.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Segundo</w:t>
      </w:r>
      <w:r w:rsidRPr="0040486F">
        <w:rPr>
          <w:rFonts w:asciiTheme="minorHAnsi" w:eastAsia="Times New Roman" w:hAnsiTheme="minorHAnsi" w:cs="Arial"/>
          <w:i/>
          <w:color w:val="000000" w:themeColor="text1"/>
          <w:sz w:val="24"/>
          <w:szCs w:val="24"/>
          <w:lang w:eastAsia="es-MX"/>
        </w:rPr>
        <w:t xml:space="preserve"> fue denominado </w:t>
      </w:r>
      <w:r w:rsidRPr="0040486F">
        <w:rPr>
          <w:rFonts w:asciiTheme="minorHAnsi" w:eastAsia="Times New Roman" w:hAnsiTheme="minorHAnsi" w:cs="Arial"/>
          <w:b/>
          <w:i/>
          <w:color w:val="000000" w:themeColor="text1"/>
          <w:sz w:val="24"/>
          <w:szCs w:val="24"/>
          <w:lang w:eastAsia="es-MX"/>
        </w:rPr>
        <w:t>“Cultura de la Transparencia”</w:t>
      </w:r>
      <w:r w:rsidRPr="0040486F">
        <w:rPr>
          <w:rFonts w:asciiTheme="minorHAnsi" w:eastAsia="Times New Roman" w:hAnsiTheme="minorHAnsi" w:cs="Arial"/>
          <w:i/>
          <w:color w:val="000000" w:themeColor="text1"/>
          <w:sz w:val="24"/>
          <w:szCs w:val="24"/>
          <w:lang w:eastAsia="es-MX"/>
        </w:rPr>
        <w:t xml:space="preserve"> y se integra por dos capítulos y 11 artículos, siendo el Capítulo I el </w:t>
      </w:r>
      <w:r w:rsidRPr="0040486F">
        <w:rPr>
          <w:rFonts w:asciiTheme="minorHAnsi" w:eastAsia="Times New Roman" w:hAnsiTheme="minorHAnsi" w:cs="Arial"/>
          <w:b/>
          <w:i/>
          <w:color w:val="000000" w:themeColor="text1"/>
          <w:sz w:val="24"/>
          <w:szCs w:val="24"/>
          <w:lang w:eastAsia="es-MX"/>
        </w:rPr>
        <w:t>“</w:t>
      </w:r>
      <w:r w:rsidRPr="00B84006">
        <w:rPr>
          <w:rFonts w:asciiTheme="minorHAnsi" w:eastAsia="Times New Roman" w:hAnsiTheme="minorHAnsi" w:cs="Arial"/>
          <w:b/>
          <w:i/>
          <w:color w:val="000000" w:themeColor="text1"/>
          <w:sz w:val="24"/>
          <w:szCs w:val="24"/>
          <w:lang w:eastAsia="es-MX"/>
        </w:rPr>
        <w:t>De la apertura de la información</w:t>
      </w:r>
      <w:r w:rsidRPr="0040486F">
        <w:rPr>
          <w:rFonts w:asciiTheme="minorHAnsi" w:eastAsia="Times New Roman" w:hAnsiTheme="minorHAnsi" w:cs="Arial"/>
          <w:b/>
          <w:i/>
          <w:color w:val="000000" w:themeColor="text1"/>
          <w:sz w:val="24"/>
          <w:szCs w:val="24"/>
          <w:lang w:eastAsia="es-MX"/>
        </w:rPr>
        <w:t>”,</w:t>
      </w:r>
      <w:r w:rsidRPr="0040486F">
        <w:rPr>
          <w:rFonts w:asciiTheme="minorHAnsi" w:eastAsia="Times New Roman" w:hAnsiTheme="minorHAnsi" w:cs="Arial"/>
          <w:i/>
          <w:color w:val="000000" w:themeColor="text1"/>
          <w:sz w:val="24"/>
          <w:szCs w:val="24"/>
          <w:lang w:eastAsia="es-MX"/>
        </w:rPr>
        <w:t xml:space="preserve"> en el cual se incluyen disposiciones generales que condicionan la participación de las entidades públicas consideradas como sujetos obligados en la difusión y consolidación de la cultura de la transparencia, estableciendo específicamente obligaciones tendientes a capacitar y actualizar al personal a su servicios en los temas inherentes al derecho a la información, latu sensu, ratificando el papel preponderante del Organismo Garante en las actividades que tiendan a la consecución de los fines que se consignan en el presente párrafo.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el </w:t>
      </w:r>
      <w:r w:rsidRPr="0040486F">
        <w:rPr>
          <w:rFonts w:asciiTheme="minorHAnsi" w:eastAsia="Times New Roman" w:hAnsiTheme="minorHAnsi" w:cs="Arial"/>
          <w:b/>
          <w:i/>
          <w:color w:val="000000" w:themeColor="text1"/>
          <w:sz w:val="24"/>
          <w:szCs w:val="24"/>
          <w:lang w:eastAsia="es-MX"/>
        </w:rPr>
        <w:t xml:space="preserve"> Capítulo II </w:t>
      </w:r>
      <w:r w:rsidRPr="0040486F">
        <w:rPr>
          <w:rFonts w:asciiTheme="minorHAnsi" w:eastAsia="Times New Roman" w:hAnsiTheme="minorHAnsi" w:cs="Arial"/>
          <w:i/>
          <w:color w:val="000000" w:themeColor="text1"/>
          <w:sz w:val="24"/>
          <w:szCs w:val="24"/>
          <w:lang w:eastAsia="es-MX"/>
        </w:rPr>
        <w:t xml:space="preserve">se hace referencia a los temas de </w:t>
      </w:r>
      <w:r w:rsidRPr="0040486F">
        <w:rPr>
          <w:rFonts w:asciiTheme="minorHAnsi" w:eastAsia="Times New Roman" w:hAnsiTheme="minorHAnsi" w:cs="Arial"/>
          <w:b/>
          <w:i/>
          <w:color w:val="000000" w:themeColor="text1"/>
          <w:sz w:val="24"/>
          <w:szCs w:val="24"/>
          <w:lang w:eastAsia="es-MX"/>
        </w:rPr>
        <w:t>transparencia proactiva y gobierno abierto</w:t>
      </w:r>
      <w:r w:rsidRPr="0040486F">
        <w:rPr>
          <w:rFonts w:asciiTheme="minorHAnsi" w:eastAsia="Times New Roman" w:hAnsiTheme="minorHAnsi" w:cs="Arial"/>
          <w:i/>
          <w:color w:val="000000" w:themeColor="text1"/>
          <w:sz w:val="24"/>
          <w:szCs w:val="24"/>
          <w:lang w:eastAsia="es-MX"/>
        </w:rPr>
        <w:t>, disposiciones que incentivan el papel del Organismo Garante y demás entidades públicas para determinar la publicación de información adicional a la de publicación oficiosa, mediante una sinergia de la que deben surgir los temas de mayor interés para la población y acordarse de que los mismos permanezcan en Internet a disposición del público para su adecuada divulgación, procurando que su difusión se realice en los medios y formatos que resulten más accesibles para su consulta.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el contexto del gobierno abierto se menciona que el Organismo Garante debe coadyuvar con las entidades públicas y representantes de la sociedad civil en la implementación de mecanismos de colaboración para promover políticas e instrumentos de apertura gubernamental, sustancialmente dirigidos a socializar la información, facilitar la participación ciudadana en la actividad de las instituciones públicas y mejorar el funcionamiento de nuestro sistema democrático mediante el tratamiento y sistematización de las aportaciones de la población.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El contenido vertido en el presente capítulo busca que los Sujetos Obligados y el Organismo Garante faciliten la publicación de la información pública, así como generen las condiciones para el libre acceso de los ciudadanos a los contenidos que deseen hacerse sabedores; implementando políticas que apertura gubernamental.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el </w:t>
      </w:r>
      <w:r w:rsidRPr="0040486F">
        <w:rPr>
          <w:rFonts w:asciiTheme="minorHAnsi" w:eastAsia="Times New Roman" w:hAnsiTheme="minorHAnsi" w:cs="Arial"/>
          <w:b/>
          <w:i/>
          <w:color w:val="000000" w:themeColor="text1"/>
          <w:sz w:val="24"/>
          <w:szCs w:val="24"/>
          <w:lang w:eastAsia="es-MX"/>
        </w:rPr>
        <w:t>Título Tercero</w:t>
      </w:r>
      <w:r w:rsidRPr="0040486F">
        <w:rPr>
          <w:rFonts w:asciiTheme="minorHAnsi" w:eastAsia="Times New Roman" w:hAnsiTheme="minorHAnsi" w:cs="Arial"/>
          <w:i/>
          <w:color w:val="000000" w:themeColor="text1"/>
          <w:sz w:val="24"/>
          <w:szCs w:val="24"/>
          <w:lang w:eastAsia="es-MX"/>
        </w:rPr>
        <w:t xml:space="preserve"> se regulan las </w:t>
      </w:r>
      <w:r w:rsidRPr="0040486F">
        <w:rPr>
          <w:rFonts w:asciiTheme="minorHAnsi" w:eastAsia="Times New Roman" w:hAnsiTheme="minorHAnsi" w:cs="Arial"/>
          <w:b/>
          <w:i/>
          <w:color w:val="000000" w:themeColor="text1"/>
          <w:sz w:val="24"/>
          <w:szCs w:val="24"/>
          <w:lang w:eastAsia="es-MX"/>
        </w:rPr>
        <w:t>“Obligaciones de Transparencia”</w:t>
      </w:r>
      <w:r w:rsidRPr="0040486F">
        <w:rPr>
          <w:rFonts w:asciiTheme="minorHAnsi" w:eastAsia="Times New Roman" w:hAnsiTheme="minorHAnsi" w:cs="Arial"/>
          <w:i/>
          <w:color w:val="000000" w:themeColor="text1"/>
          <w:sz w:val="24"/>
          <w:szCs w:val="24"/>
          <w:lang w:eastAsia="es-MX"/>
        </w:rPr>
        <w:t xml:space="preserve">, y para una mejor distribución de la información se dividió en dos secciones y cuarenta y nueve artículos: la primera de ellas “Información de </w:t>
      </w:r>
      <w:r w:rsidRPr="0040486F">
        <w:rPr>
          <w:rFonts w:asciiTheme="minorHAnsi" w:eastAsia="Times New Roman" w:hAnsiTheme="minorHAnsi" w:cs="Arial"/>
          <w:i/>
          <w:color w:val="000000" w:themeColor="text1"/>
          <w:sz w:val="24"/>
          <w:szCs w:val="24"/>
          <w:lang w:eastAsia="es-MX"/>
        </w:rPr>
        <w:lastRenderedPageBreak/>
        <w:t>publicación obligatoria e infraestructura básica” se conforma de 9 capítulos, que sustancialmente contienen los siguientes temas: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“Disposiciones comunes de los sujetos obligados”</w:t>
      </w:r>
      <w:r w:rsidRPr="0040486F">
        <w:rPr>
          <w:rFonts w:asciiTheme="minorHAnsi" w:eastAsia="Times New Roman" w:hAnsiTheme="minorHAnsi" w:cs="Arial"/>
          <w:i/>
          <w:color w:val="000000" w:themeColor="text1"/>
          <w:sz w:val="24"/>
          <w:szCs w:val="24"/>
          <w:lang w:eastAsia="es-MX"/>
        </w:rPr>
        <w:t xml:space="preserve">, se dispone la actualización periódica de la información pública de oficio y con ellos se garantiza que el ciudadano tenga a su disposición información actualizada pues la autoridad tendrá la obligación de renovar dicha información con una periodicidad inferior a tres meses, así como señalar quién es la persona responsable de la disposición de cada rubro y de mantener en funcionamiento el sitio de internet de los sujetos obligados. Se previene, además, la sistematización de la información que se publica y la utilización de herramientas informáticas con el propósito de que su consulta y operatividad resulten accesibles a los usuarios, debiéndose procurar en todo caso la inserción de personas con discapacidad o pertenecientes a grupos vulnerables.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Entre las nuevas estipulaciones al respecto, se supedita la publicación de la información Pública de Oficio a los formatos que apruebe el Sistema Nacional de Transparencia y se considera solo un informe anual de los sujetos obligados con los datos que señala la Ley General los cuales generarán una mayor información que la que se obtiene en las actuales condiciones, así también se adecúa el catálogo de sujetos obligados para hacerlo acorde al marco nacional, lo que supone un incremento del número de entidades públicas que deben supeditar su actuación a las disposiciones y políticas de la materia.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 En el que se asientan las “Obligaciones comunes de los sujetos obligados”</w:t>
      </w:r>
      <w:r w:rsidRPr="0040486F">
        <w:rPr>
          <w:rFonts w:asciiTheme="minorHAnsi" w:eastAsia="Times New Roman" w:hAnsiTheme="minorHAnsi" w:cs="Arial"/>
          <w:i/>
          <w:color w:val="000000" w:themeColor="text1"/>
          <w:sz w:val="24"/>
          <w:szCs w:val="24"/>
          <w:lang w:eastAsia="es-MX"/>
        </w:rPr>
        <w:t>, fueron ampliadas las exigencias, para comprender aquellas que al respecto se encuentran insertas en la Ley General de Transparencia y Acceso a la Información Pública, citándose como temas de nueva inserción la obligación de los sujetos obligados de constituir Comités y Unidades de Transparencia, como parte de la infraestructura tendiente al perfeccionamiento de las condiciones del Derecho de Acceso a la Información. De esta manera las actuales Unidades de Información modificarán su denominación para adoptar la que se establece a nivel nacional, pero ampliando sustancialmente sus responsabilidades y adquiriendo la preponderancia que les reclama el desarrollo de este logro social.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Por otra parte, cada sujeto obligado deberá integrar un Comité de Transparencia que apoyará y diseñará las políticas y acciones que se establezcan para perfeccionar las condiciones de transparencia y mejorar el tratamiento que se concede a las solicitudes de información, se adiciona también la obligación de documentar todo acto que se realice en el ejercicio de facultades, competencias y funciones de los sujetos obligados, a quienes también se somete a la aplicación de los criterios que deriven de la actuación jurisdiccional del Órgano Garante Nacional, así como de las recomendaciones, requerimientos y observaciones que realice el Sistema Nacional de Transparencia, como entidad rectora a nivel nacional.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III “Obligaciones específicas de los sujetos obligados”;</w:t>
      </w:r>
      <w:r w:rsidRPr="0040486F">
        <w:rPr>
          <w:rFonts w:asciiTheme="minorHAnsi" w:eastAsia="Times New Roman" w:hAnsiTheme="minorHAnsi" w:cs="Arial"/>
          <w:i/>
          <w:color w:val="000000" w:themeColor="text1"/>
          <w:sz w:val="24"/>
          <w:szCs w:val="24"/>
          <w:lang w:eastAsia="es-MX"/>
        </w:rPr>
        <w:t xml:space="preserve"> apartado en el que se previenen rubros de información pública de oficio particulares para diversos sujetos obligados.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el</w:t>
      </w:r>
      <w:r w:rsidRPr="0040486F">
        <w:rPr>
          <w:rFonts w:asciiTheme="minorHAnsi" w:eastAsia="Times New Roman" w:hAnsiTheme="minorHAnsi" w:cs="Arial"/>
          <w:b/>
          <w:i/>
          <w:color w:val="000000" w:themeColor="text1"/>
          <w:sz w:val="24"/>
          <w:szCs w:val="24"/>
          <w:lang w:eastAsia="es-MX"/>
        </w:rPr>
        <w:t xml:space="preserve"> Capítulo IV </w:t>
      </w:r>
      <w:r w:rsidRPr="0040486F">
        <w:rPr>
          <w:rFonts w:asciiTheme="minorHAnsi" w:eastAsia="Times New Roman" w:hAnsiTheme="minorHAnsi" w:cs="Arial"/>
          <w:i/>
          <w:color w:val="000000" w:themeColor="text1"/>
          <w:sz w:val="24"/>
          <w:szCs w:val="24"/>
          <w:lang w:eastAsia="es-MX"/>
        </w:rPr>
        <w:t>que se identifica</w:t>
      </w:r>
      <w:r w:rsidRPr="0040486F">
        <w:rPr>
          <w:rFonts w:asciiTheme="minorHAnsi" w:eastAsia="Times New Roman" w:hAnsiTheme="minorHAnsi" w:cs="Arial"/>
          <w:b/>
          <w:i/>
          <w:color w:val="000000" w:themeColor="text1"/>
          <w:sz w:val="24"/>
          <w:szCs w:val="24"/>
          <w:lang w:eastAsia="es-MX"/>
        </w:rPr>
        <w:t xml:space="preserve"> “De los partidos políticos, sindicatos y personas de derecho público y privado que ejercen funciones de autoridad”;</w:t>
      </w:r>
      <w:r w:rsidRPr="0040486F">
        <w:rPr>
          <w:rFonts w:asciiTheme="minorHAnsi" w:eastAsia="Times New Roman" w:hAnsiTheme="minorHAnsi" w:cs="Arial"/>
          <w:i/>
          <w:color w:val="000000" w:themeColor="text1"/>
          <w:sz w:val="24"/>
          <w:szCs w:val="24"/>
          <w:lang w:eastAsia="es-MX"/>
        </w:rPr>
        <w:t xml:space="preserve"> se considera para partidos políticos la difusión de su padrón de militantes, acuerdos y resoluciones de sus órganos de dirección, convenios de participación con organizaciones de la sociedad civil, organizaciones sociales adherentes, montos de financiamiento público y privado con el listado de aportantes a campañas y precampañas, directorios y tabuladores de </w:t>
      </w:r>
      <w:r w:rsidRPr="0040486F">
        <w:rPr>
          <w:rFonts w:asciiTheme="minorHAnsi" w:eastAsia="Times New Roman" w:hAnsiTheme="minorHAnsi" w:cs="Arial"/>
          <w:i/>
          <w:color w:val="000000" w:themeColor="text1"/>
          <w:sz w:val="24"/>
          <w:szCs w:val="24"/>
          <w:lang w:eastAsia="es-MX"/>
        </w:rPr>
        <w:lastRenderedPageBreak/>
        <w:t>remuneraciones, convenios, estado de situación financiera, informes que rindan a la autoridad electoral y las resoluciones de los mismos.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cuanto a los sindicatos que reciban recursos públicos se previene que deben publicar los rubros de información que se enuncian en la Ley General, destacando los contratos y convenios que celebren con autoridades, el directorio del comité ejecutivo, el padrón de socios y la relación detallada de los recursos públicos que reciban, sean de carácter económico, en especie, bienes o donativos, incluyendo el informe detallado del ejercicio y destino final de los recursos públicos que ejerzan.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Además, se incluyen obligaciones de publicación para los Notarios Públicos y adicionalmente se incorporan disposiciones tendientes a lograr que los sujetos obligados realicen las acciones necesarias para que se mantenga disponible al público la información de transparencia en tiempos electorales así como durante la transición de una administración a otra, estableciendo expresamente el carácter de infracción de las conductas que no se ajusten a tales estipulaciones.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 “De las personas de derecho público y privado que ejerzan gasto público, reciban subsidio o subvención”</w:t>
      </w:r>
      <w:r w:rsidRPr="0040486F">
        <w:rPr>
          <w:rFonts w:asciiTheme="minorHAnsi" w:eastAsia="Times New Roman" w:hAnsiTheme="minorHAnsi" w:cs="Arial"/>
          <w:i/>
          <w:color w:val="000000" w:themeColor="text1"/>
          <w:sz w:val="24"/>
          <w:szCs w:val="24"/>
          <w:lang w:eastAsia="es-MX"/>
        </w:rPr>
        <w:t xml:space="preserve">; en este ámbito se señalan rubros de Información Pública de Oficio que deberán publicar las personas a las que se refiere el capítulo, entre los que se mencionan los documentos que acrediten su existencia legal, directorio de representantes o personas que integren sus órganos de gobierno, su objeto social, monto de recursos públicos que reciban y la aplicación que les concedan.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establecen en este apartado dos temas de suma relevancia, como son la facultad del Organismo Garante para determinar cuáles de estas instituciones deberán realizar por sí mismas la publicación de la información que les compete y cuáles lo podrán hacer a través de los sujetos obligados que les proporcionen recursos, precisándose correlativamente la obligación de éstos de facilitar los medios para la publicación de la  referida información.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w:t>
      </w:r>
      <w:r w:rsidRPr="0040486F">
        <w:rPr>
          <w:rFonts w:asciiTheme="minorHAnsi" w:eastAsia="Times New Roman" w:hAnsiTheme="minorHAnsi" w:cs="Arial"/>
          <w:i/>
          <w:color w:val="000000" w:themeColor="text1"/>
          <w:sz w:val="24"/>
          <w:szCs w:val="24"/>
          <w:lang w:eastAsia="es-MX"/>
        </w:rPr>
        <w:t xml:space="preserve"> en este apartado denominado </w:t>
      </w:r>
      <w:r w:rsidRPr="0040486F">
        <w:rPr>
          <w:rFonts w:asciiTheme="minorHAnsi" w:eastAsia="Times New Roman" w:hAnsiTheme="minorHAnsi" w:cs="Arial"/>
          <w:b/>
          <w:i/>
          <w:color w:val="000000" w:themeColor="text1"/>
          <w:sz w:val="24"/>
          <w:szCs w:val="24"/>
          <w:lang w:eastAsia="es-MX"/>
        </w:rPr>
        <w:t>“De la publicación de información adicional”</w:t>
      </w:r>
      <w:r w:rsidRPr="0040486F">
        <w:rPr>
          <w:rFonts w:asciiTheme="minorHAnsi" w:eastAsia="Times New Roman" w:hAnsiTheme="minorHAnsi" w:cs="Arial"/>
          <w:i/>
          <w:color w:val="000000" w:themeColor="text1"/>
          <w:sz w:val="24"/>
          <w:szCs w:val="24"/>
          <w:lang w:eastAsia="es-MX"/>
        </w:rPr>
        <w:t xml:space="preserve">, se traslada al Instituto de Transparencia, Acceso a la Información Pública y Protección de Datos del Estado de Colima la facultad de establecer rubros de Información Pública obligatoria para cada sujeto obligado, adicionales a los expresamente mencionados en el presente documento, señalando el procedimiento correspondiente, el cual inicia solicitando una lista de información relevante a los sujetos obligados y concluye con la publicación en el Periódico Oficial del Estado del acuerdo que determina esa información.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VII, “Comités de Transparencia”</w:t>
      </w:r>
      <w:r w:rsidRPr="0040486F">
        <w:rPr>
          <w:rFonts w:asciiTheme="minorHAnsi" w:eastAsia="Times New Roman" w:hAnsiTheme="minorHAnsi" w:cs="Arial"/>
          <w:i/>
          <w:color w:val="000000" w:themeColor="text1"/>
          <w:sz w:val="24"/>
          <w:szCs w:val="24"/>
          <w:lang w:eastAsia="es-MX"/>
        </w:rPr>
        <w:t>, íntegramente este apartado constituye una innovación en el contexto jurídico local, derivada sustancialmente del contenido de la Ley General, en cuanto se considera como una obligación de los sujetos obligados, la de constituir estos Comités que tendrán a su cargo la facultad de coadyuvar en el perfeccionamiento de los procedimientos de atención a solicitudes de información; resolver en definitiva la procedencia de la entrega de información solicitada a los sujetos obligados, determinando en su caso la calidad de reservada o confidencial; ordenar se genere información que no posean los sujetos obligados pero que de acuerdo a sus facultades y atribuciones les corresponda su emisión, administración o custodia; se precisan además su integración, funcionamiento y atribuciones.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VIII “Unidades de Transparencia”</w:t>
      </w:r>
      <w:r w:rsidRPr="0040486F">
        <w:rPr>
          <w:rFonts w:asciiTheme="minorHAnsi" w:eastAsia="Times New Roman" w:hAnsiTheme="minorHAnsi" w:cs="Arial"/>
          <w:i/>
          <w:color w:val="000000" w:themeColor="text1"/>
          <w:sz w:val="24"/>
          <w:szCs w:val="24"/>
          <w:lang w:eastAsia="es-MX"/>
        </w:rPr>
        <w:t xml:space="preserve">, en este tema se plantea sustituir las Unidades de información que previene la  ley vigente por Unidades de transparencia, instancias a las que se concibe </w:t>
      </w:r>
      <w:r w:rsidRPr="0040486F">
        <w:rPr>
          <w:rFonts w:asciiTheme="minorHAnsi" w:eastAsia="Times New Roman" w:hAnsiTheme="minorHAnsi" w:cs="Arial"/>
          <w:i/>
          <w:color w:val="000000" w:themeColor="text1"/>
          <w:sz w:val="24"/>
          <w:szCs w:val="24"/>
          <w:lang w:eastAsia="es-MX"/>
        </w:rPr>
        <w:lastRenderedPageBreak/>
        <w:t>como oficinas de atención a las solicitudes de información y cumplimiento de obligaciones de transparencia, estableciendo la forma en que deberán estar integradas así como sus atribuciones en cuanto a recabar, ordenar y publicar la Información Pública obligatoria, recibir, tramitar y registrar las solicitudes de información, emitir opinión respecto a la clasificación de información para determinar la procedencia de su entrega; además se establece la necesidad de que las áreas que produzcan la información presten apoyo a la Unidad de Transparencia so pena incurrir en responsabilidad administrativa.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IX “De los archivos administrativos”</w:t>
      </w:r>
      <w:r w:rsidRPr="0040486F">
        <w:rPr>
          <w:rFonts w:asciiTheme="minorHAnsi" w:eastAsia="Times New Roman" w:hAnsiTheme="minorHAnsi" w:cs="Arial"/>
          <w:i/>
          <w:color w:val="000000" w:themeColor="text1"/>
          <w:sz w:val="24"/>
          <w:szCs w:val="24"/>
          <w:lang w:eastAsia="es-MX"/>
        </w:rPr>
        <w:t>; en este capítulo se conservan disposiciones generales para determinar la responsabilidad de los sujetos obligados referida a la preservación de los documentos de conformidad con las disposiciones de la Ley de Archivos y demás normatividad aplicable.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La Sección Segunda del Título Tercero</w:t>
      </w:r>
      <w:r w:rsidRPr="0040486F">
        <w:rPr>
          <w:rFonts w:asciiTheme="minorHAnsi" w:eastAsia="Times New Roman" w:hAnsiTheme="minorHAnsi" w:cs="Arial"/>
          <w:i/>
          <w:color w:val="000000" w:themeColor="text1"/>
          <w:sz w:val="24"/>
          <w:szCs w:val="24"/>
          <w:lang w:eastAsia="es-MX"/>
        </w:rPr>
        <w:t>, se conforma de dos capítulos, que son los siguientes: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“Verificación de las obligaciones de Transparencia”</w:t>
      </w:r>
      <w:r w:rsidRPr="0040486F">
        <w:rPr>
          <w:rFonts w:asciiTheme="minorHAnsi" w:eastAsia="Times New Roman" w:hAnsiTheme="minorHAnsi" w:cs="Arial"/>
          <w:i/>
          <w:color w:val="000000" w:themeColor="text1"/>
          <w:sz w:val="24"/>
          <w:szCs w:val="24"/>
          <w:lang w:eastAsia="es-MX"/>
        </w:rPr>
        <w:t>, en el que se reafirma la facultad del Organismo Garante para verificar el cumplimiento de las obligaciones de transparencia de los sujetos obligados, correspondiendo sustancialmente a la disposición en Internet de información pública de oficio, y al cumplimiento de las especificaciones que debe contener el apartado de transparencia, para facilitar a los usuarios su localización y manejo; se previene un procedimiento de verificación que contiene un mínimo de formalidades, en el ánimo de hacerlo ágil y generar certeza de la actuación del organismo garante, al que se faculta para la aplicación de las medidas de apremio y sanciones que se contemplan en este documento.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 “De la denuncia”</w:t>
      </w:r>
      <w:r w:rsidRPr="0040486F">
        <w:rPr>
          <w:rFonts w:asciiTheme="minorHAnsi" w:eastAsia="Times New Roman" w:hAnsiTheme="minorHAnsi" w:cs="Arial"/>
          <w:i/>
          <w:color w:val="000000" w:themeColor="text1"/>
          <w:sz w:val="24"/>
          <w:szCs w:val="24"/>
          <w:lang w:eastAsia="es-MX"/>
        </w:rPr>
        <w:t xml:space="preserve"> previene la acción popular para presentar denuncias ante el Organismo Garante, cuando se considere que los sujetos obligados incumplen con la difusión de información pública de oficio o, de manera general, de sus obligaciones de transparencia, refiriendo requisitos mínimos que devienen del contenido de la Ley General, cuya inclusión resulta imperativa en el presente caso, disposiciones con las que se pretende alentar la participación social en la exigencia a recibir información y en motivar la actuación del Organismo Garante para que ejerza adecuadamente sus funciones.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Cuarto</w:t>
      </w:r>
      <w:r w:rsidRPr="0040486F">
        <w:rPr>
          <w:rFonts w:asciiTheme="minorHAnsi" w:eastAsia="Times New Roman" w:hAnsiTheme="minorHAnsi" w:cs="Arial"/>
          <w:i/>
          <w:color w:val="000000" w:themeColor="text1"/>
          <w:sz w:val="24"/>
          <w:szCs w:val="24"/>
          <w:lang w:eastAsia="es-MX"/>
        </w:rPr>
        <w:t xml:space="preserve"> se integra por cuatro capítulos relativos al </w:t>
      </w:r>
      <w:r w:rsidRPr="0040486F">
        <w:rPr>
          <w:rFonts w:asciiTheme="minorHAnsi" w:eastAsia="Times New Roman" w:hAnsiTheme="minorHAnsi" w:cs="Arial"/>
          <w:b/>
          <w:i/>
          <w:color w:val="000000" w:themeColor="text1"/>
          <w:sz w:val="24"/>
          <w:szCs w:val="24"/>
          <w:lang w:eastAsia="es-MX"/>
        </w:rPr>
        <w:t>“Organismo garante y sus atribuciones”</w:t>
      </w:r>
      <w:r w:rsidRPr="0040486F">
        <w:rPr>
          <w:rFonts w:asciiTheme="minorHAnsi" w:eastAsia="Times New Roman" w:hAnsiTheme="minorHAnsi" w:cs="Arial"/>
          <w:i/>
          <w:color w:val="000000" w:themeColor="text1"/>
          <w:sz w:val="24"/>
          <w:szCs w:val="24"/>
          <w:lang w:eastAsia="es-MX"/>
        </w:rPr>
        <w:t>, resumidos de la siguiente forma: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 “Del Organismo Garante” </w:t>
      </w:r>
      <w:r w:rsidRPr="0040486F">
        <w:rPr>
          <w:rFonts w:asciiTheme="minorHAnsi" w:eastAsia="Times New Roman" w:hAnsiTheme="minorHAnsi" w:cs="Arial"/>
          <w:i/>
          <w:color w:val="000000" w:themeColor="text1"/>
          <w:sz w:val="24"/>
          <w:szCs w:val="24"/>
          <w:lang w:eastAsia="es-MX"/>
        </w:rPr>
        <w:t>contiene</w:t>
      </w:r>
      <w:r w:rsidRPr="0040486F">
        <w:rPr>
          <w:rFonts w:asciiTheme="minorHAnsi" w:eastAsia="Times New Roman" w:hAnsiTheme="minorHAnsi" w:cs="Arial"/>
          <w:b/>
          <w:i/>
          <w:color w:val="000000" w:themeColor="text1"/>
          <w:sz w:val="24"/>
          <w:szCs w:val="24"/>
          <w:lang w:eastAsia="es-MX"/>
        </w:rPr>
        <w:t xml:space="preserve"> 22 artículos</w:t>
      </w:r>
      <w:r w:rsidRPr="0040486F">
        <w:rPr>
          <w:rFonts w:asciiTheme="minorHAnsi" w:eastAsia="Times New Roman" w:hAnsiTheme="minorHAnsi" w:cs="Arial"/>
          <w:i/>
          <w:color w:val="000000" w:themeColor="text1"/>
          <w:sz w:val="24"/>
          <w:szCs w:val="24"/>
          <w:lang w:eastAsia="es-MX"/>
        </w:rPr>
        <w:t>; en este apartado se enuncia al Instituto como un organismo público constitucionalmente autónomo y como autoridad en materias de acceso a la información pública, transparencia y protección de datos personales, precisando la forma de integración del mismo; en cuanto a su máximo órgano de gobierno se establece que se integrará por tres Comisionados y se contempla un nuevo procedimiento para su elección; los nombramientos de los Comisionados se realizarán mediante una amplia consulta a la sociedad; con la intervención que en derecho corresponda al titular del Poder Ejecutivo Estatal y a los diputados integrantes del H. Congreso del Estado, con el voto de las dos terceras partes de sus miembros presentes, en el que se observará el principio de equidad de género.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Dentro del mismo rubro establece como obligación del H. Congreso del Estado, otorgar un presupuesto adecuado al Instituto, para su funcionamiento efectivo y el cumplimiento de sus funciones.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lastRenderedPageBreak/>
        <w:t xml:space="preserve">Se adicionan al pleno atribuciones para solicitar al Órgano Garante Nacional ejerza la facultad de atracción inherente a los recursos de revisión planteados ante el organismo garante y que se consideren de particular relevancia, se considera facultarlo para que presente iniciativas de ley y promueva acciones de inconstitucionalidad contra leyes locales cuando se refieran a las materias propias de su conocimiento; de igual manera se pretende que tenga competencia para establecer nuevos rubros de información pública de oficio así como para formar parte del Sistema Nacional de Transparencia y conceder licencias a los Comisionados.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Por otra parte se constriñe a sujetar el ejercicio de la actividad jurisdiccional a los principios de certeza, eficacia, imparcialidad, independencia, legalidad, objetividad, profesionalismo y transparencia; como también se considera conveniente trasladar de la Carta Magna la protección a la actividad institucional determinando que la remoción de los Comisionados solamente podrá darse en los términos de dicho ordenamiento; se contempla la suplencia por la ausencia temporal de un Comisionado, con la posibilidad de integrar como tal al Secretario del organismo que el Pleno determine, en los casos en que se presente la ausencia de alguno de ellos.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previene la rendición de un informe anual de actividades ante la legislatura del Estado, la duración de siete años en el ejercicio del cargo de Comisionado y, por otra parte, la forma en que se integrará el patrimonio del organismo garante.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“Facultades y atribuciones de los Comisionados”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3 artículos,</w:t>
      </w:r>
      <w:r w:rsidRPr="0040486F">
        <w:rPr>
          <w:rFonts w:asciiTheme="minorHAnsi" w:eastAsia="Times New Roman" w:hAnsiTheme="minorHAnsi" w:cs="Arial"/>
          <w:i/>
          <w:color w:val="000000" w:themeColor="text1"/>
          <w:sz w:val="24"/>
          <w:szCs w:val="24"/>
          <w:lang w:eastAsia="es-MX"/>
        </w:rPr>
        <w:t xml:space="preserve"> que versa sobre las facultades y atribuciones que en forma general corresponderían a quienes conforman el máximo órgano de gobierno del Organismo Garante, así como también de manera específica las que se pretende conceder al Comisionado Presidente, las cuales deben ser bastantes y suficientes para garantizar el adecuado funcionamiento del organismo.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III “Del Consejo Consultivo”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6 artículos</w:t>
      </w:r>
      <w:r w:rsidRPr="0040486F">
        <w:rPr>
          <w:rFonts w:asciiTheme="minorHAnsi" w:eastAsia="Times New Roman" w:hAnsiTheme="minorHAnsi" w:cs="Arial"/>
          <w:i/>
          <w:color w:val="000000" w:themeColor="text1"/>
          <w:sz w:val="24"/>
          <w:szCs w:val="24"/>
          <w:lang w:eastAsia="es-MX"/>
        </w:rPr>
        <w:t>, la propuesta incluye la consideración de este órgano de gobierno como una instancia que aporte en la rectoría y diseño de las políticas y acciones institucionales participando en la evaluación de las actividades que desempeñe el organismo, con lo que se está en concordancia con las disposiciones de la Ley General, determinando su temporalidad e integración así como los requisitos que deberán reunir los Consejeros, cargo que se concibe como honorífico. Se considera que corresponde al Congreso local la facultad de su designación y se señalan también aspectos inherentes a las sesiones, la asistencia de un Secretario Técnico para validarlas y dar seguimiento a sus acuerdos, determinaciones y resoluciones, por otra parte se enuncian las facultades y atribuciones que le corresponderán.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IV “Del derecho de iniciativa y las acciones de inconstitucionalidad”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3 artículos</w:t>
      </w:r>
      <w:r w:rsidRPr="0040486F">
        <w:rPr>
          <w:rFonts w:asciiTheme="minorHAnsi" w:eastAsia="Times New Roman" w:hAnsiTheme="minorHAnsi" w:cs="Arial"/>
          <w:i/>
          <w:color w:val="000000" w:themeColor="text1"/>
          <w:sz w:val="24"/>
          <w:szCs w:val="24"/>
          <w:lang w:eastAsia="es-MX"/>
        </w:rPr>
        <w:t xml:space="preserve">; donde se traslada de la Ley General la atribución del Organismo Garante para interponer las acciones de inconstitucionalidad contra leyes locales cuando se considere que vulneran los derechos de acceso a la información y protección de datos personales, en cuanto esta atribución complementa el perfil de organismo garante en estas materias y hace posible su participación activa en la defensa de las dimensiones del derecho.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Quinto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 los diversos tipos de información”</w:t>
      </w:r>
      <w:r w:rsidRPr="0040486F">
        <w:rPr>
          <w:rFonts w:asciiTheme="minorHAnsi" w:eastAsia="Times New Roman" w:hAnsiTheme="minorHAnsi" w:cs="Arial"/>
          <w:i/>
          <w:color w:val="000000" w:themeColor="text1"/>
          <w:sz w:val="24"/>
          <w:szCs w:val="24"/>
          <w:lang w:eastAsia="es-MX"/>
        </w:rPr>
        <w:t>, se integra con cuatro capítulos, de la siguiente forma: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lastRenderedPageBreak/>
        <w:t xml:space="preserve">Capítulo I “De la información pública”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4 artículos,</w:t>
      </w:r>
      <w:r w:rsidRPr="0040486F">
        <w:rPr>
          <w:rFonts w:asciiTheme="minorHAnsi" w:eastAsia="Times New Roman" w:hAnsiTheme="minorHAnsi" w:cs="Arial"/>
          <w:i/>
          <w:color w:val="000000" w:themeColor="text1"/>
          <w:sz w:val="24"/>
          <w:szCs w:val="24"/>
          <w:lang w:eastAsia="es-MX"/>
        </w:rPr>
        <w:t xml:space="preserve"> que conserva sustancialmente el texto actual de la ley local, en el cual se establece por regla general el carácter público de la información y el derecho de los particulares de tener acceso a ella en los términos y condiciones que en el propio documento se previene y con las licitaciones únicas que deriven de las leyes vigentes. Se citan además rubros de información que en todos los casos los sujetos obligados deberán considerar como públicos y por consecuencia susceptibles de entregarse a quienes así lo soliciten.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contrario, se establecen excepciones relativas a expedientes judiciales, precisando que no deberán ser públicos cuando se relacionen con menores de edad o incapaces, sean del orden penal y se hubieran instaurado por delitos del orden sexual o bien se ponga en riesgo la integridad física o moral de las víctimas, los que perteneciendo al orden familiar traten respecto de derechos de menores y aquéllos cuya clasificación reservada o confidencial surja de una disposición legal específica.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 la clasificación de la información”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4 artículos</w:t>
      </w:r>
      <w:r w:rsidRPr="0040486F">
        <w:rPr>
          <w:rFonts w:asciiTheme="minorHAnsi" w:eastAsia="Times New Roman" w:hAnsiTheme="minorHAnsi" w:cs="Arial"/>
          <w:i/>
          <w:color w:val="000000" w:themeColor="text1"/>
          <w:sz w:val="24"/>
          <w:szCs w:val="24"/>
          <w:lang w:eastAsia="es-MX"/>
        </w:rPr>
        <w:t xml:space="preserve">, en este apartado se comprende como atribución de los sujetos obligados la de clasificar como confidencial o reservada la información que encontrándose en su dominio le corresponda esa categoría conforme a la normatividad aplicable; se precisa la temporalidad en que puede operar la reserva, así como que tendrá como premisa la aplicación de una prueba de daño que justifique que se pone en riesgo el interés público o la seguridad nacional, se enuncian como momentos para decretar la reserva, cuando se reciba una solicitud de información, lo determine una autoridad competente o se realicen versiones públicas de los documentos solicitados.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III “De la información reservada”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8 artículos</w:t>
      </w:r>
      <w:r w:rsidRPr="0040486F">
        <w:rPr>
          <w:rFonts w:asciiTheme="minorHAnsi" w:eastAsia="Times New Roman" w:hAnsiTheme="minorHAnsi" w:cs="Arial"/>
          <w:i/>
          <w:color w:val="000000" w:themeColor="text1"/>
          <w:sz w:val="24"/>
          <w:szCs w:val="24"/>
          <w:lang w:eastAsia="es-MX"/>
        </w:rPr>
        <w:t>, incluye el tratamiento de temas como la previsión de información reservada por ley, comprendiendo casos generales como las averiguaciones previas, los expedientes judiciales o arbitrales, así como de procedimientos administrativos cuando se encuentren en período de instrucción, disposición aplicable a los procedimientos de responsabilidad de servidores públicos. Se precisan además tipos de información sobre los que operan las causales de reserva; se citan las causas que ponen fin a la reserva, y se incluyen disposiciones de administración y custodia de la información reservada y la confidencial, así como la obligación de elaborar y publicar índices de información reservada, en concordancia con las estipulaciones de la Ley General.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 que los sujetos obligados que atiendan solicitudes de información que comprenda documentos que contengan partes o secciones reservadas, deberán elaborar las versiones públicas de ellos para entregarlas a los solicitantes.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IV “De la información confidencial”</w:t>
      </w:r>
      <w:r w:rsidRPr="0040486F">
        <w:rPr>
          <w:rFonts w:asciiTheme="minorHAnsi" w:eastAsia="Times New Roman" w:hAnsiTheme="minorHAnsi" w:cs="Arial"/>
          <w:i/>
          <w:color w:val="000000" w:themeColor="text1"/>
          <w:sz w:val="24"/>
          <w:szCs w:val="24"/>
          <w:lang w:eastAsia="es-MX"/>
        </w:rPr>
        <w:t xml:space="preserve"> contiene </w:t>
      </w:r>
      <w:r w:rsidRPr="0040486F">
        <w:rPr>
          <w:rFonts w:asciiTheme="minorHAnsi" w:eastAsia="Times New Roman" w:hAnsiTheme="minorHAnsi" w:cs="Arial"/>
          <w:b/>
          <w:i/>
          <w:color w:val="000000" w:themeColor="text1"/>
          <w:sz w:val="24"/>
          <w:szCs w:val="24"/>
          <w:lang w:eastAsia="es-MX"/>
        </w:rPr>
        <w:t>6 artículos,</w:t>
      </w:r>
      <w:r w:rsidRPr="0040486F">
        <w:rPr>
          <w:rFonts w:asciiTheme="minorHAnsi" w:eastAsia="Times New Roman" w:hAnsiTheme="minorHAnsi" w:cs="Arial"/>
          <w:i/>
          <w:color w:val="000000" w:themeColor="text1"/>
          <w:sz w:val="24"/>
          <w:szCs w:val="24"/>
          <w:lang w:eastAsia="es-MX"/>
        </w:rPr>
        <w:t xml:space="preserve"> en el que se desarrollan aspectos inherentes a este género de información, incluyendo en forma íntegra los supuestos que previene la Ley General y las disposiciones relativas a la protección que los sujetos obligados deben proporcionar a la  información que con tal carácter le entreguen los particulares, incluyendo supuestos de excepción para considerar a la información con la calidad de confidencial, que básicamente resulta la que por disposición de una ley se encuentre en archivos o fuentes de carácter público, la que por ley se exceptúe de aquella categoría y la comprendida en la versión pública de la declaración patrimonial de los servidores públicos.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Se contempla la participación del Organismo Garante para resolver respecto de la procedencia de divulgar información confidencial, lo que podrá declarar procedente cuando se considere que existen </w:t>
      </w:r>
      <w:r w:rsidRPr="0040486F">
        <w:rPr>
          <w:rFonts w:asciiTheme="minorHAnsi" w:eastAsia="Times New Roman" w:hAnsiTheme="minorHAnsi" w:cs="Arial"/>
          <w:i/>
          <w:color w:val="000000" w:themeColor="text1"/>
          <w:sz w:val="24"/>
          <w:szCs w:val="24"/>
          <w:lang w:eastAsia="es-MX"/>
        </w:rPr>
        <w:lastRenderedPageBreak/>
        <w:t>razones de interés público que resulten superiores y que previa la valoración que al respecto se realice haga posible llegar a la conclusión de que es mayor el interés de su publicidad.</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Sexto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“Del acceso a la información”</w:t>
      </w:r>
      <w:r w:rsidRPr="0040486F">
        <w:rPr>
          <w:rFonts w:asciiTheme="minorHAnsi" w:eastAsia="Times New Roman" w:hAnsiTheme="minorHAnsi" w:cs="Arial"/>
          <w:i/>
          <w:color w:val="000000" w:themeColor="text1"/>
          <w:sz w:val="24"/>
          <w:szCs w:val="24"/>
          <w:lang w:eastAsia="es-MX"/>
        </w:rPr>
        <w:t xml:space="preserve"> se integra con dos capítulos, de los que se comenta lo siguiente: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“Del procedimiento de acceso a la información pública”</w:t>
      </w:r>
      <w:r w:rsidRPr="0040486F">
        <w:rPr>
          <w:rFonts w:asciiTheme="minorHAnsi" w:eastAsia="Times New Roman" w:hAnsiTheme="minorHAnsi" w:cs="Arial"/>
          <w:i/>
          <w:color w:val="000000" w:themeColor="text1"/>
          <w:sz w:val="24"/>
          <w:szCs w:val="24"/>
          <w:lang w:eastAsia="es-MX"/>
        </w:rPr>
        <w:t xml:space="preserve"> contiene </w:t>
      </w:r>
      <w:r w:rsidRPr="0040486F">
        <w:rPr>
          <w:rFonts w:asciiTheme="minorHAnsi" w:eastAsia="Times New Roman" w:hAnsiTheme="minorHAnsi" w:cs="Arial"/>
          <w:b/>
          <w:i/>
          <w:color w:val="000000" w:themeColor="text1"/>
          <w:sz w:val="24"/>
          <w:szCs w:val="24"/>
          <w:lang w:eastAsia="es-MX"/>
        </w:rPr>
        <w:t>7 artículos</w:t>
      </w:r>
      <w:r w:rsidRPr="0040486F">
        <w:rPr>
          <w:rFonts w:asciiTheme="minorHAnsi" w:eastAsia="Times New Roman" w:hAnsiTheme="minorHAnsi" w:cs="Arial"/>
          <w:i/>
          <w:color w:val="000000" w:themeColor="text1"/>
          <w:sz w:val="24"/>
          <w:szCs w:val="24"/>
          <w:lang w:eastAsia="es-MX"/>
        </w:rPr>
        <w:t>, donde se tratan temas vinculados al procedimiento de acceso a la información pública señalando los plazos para la atención de solicitudes de información conservando los términos de cinco y ocho días con la posibilidad de una prórroga por ocho días adicionales, misma que se encuentra supeditada a la emisión de un acuerdo debidamente fundado y motivado, se señalan las instancias ante las que deben plantearse y los requisitos que deben satisfacerse al formular una petición.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Se asigna a los sujetos obligados la responsabilidad de prestar a los usuarios la asesoría que requieran en las solicitudes de información que plantean, y además la obligación de hacer constar por escrito todas las solicitudes que se les formulen verbalmente y dar respuesta inmediata cuando la disponibilidad de la información así lo permita. En el mismo sentido, y como parte integrante del Sistema Nacional de Transparencia, los sujetos obligados deben registrar en la Plataforma Nacional de Transparencia cada una de las solicitudes de información que les sean planteadas, enterando de lo anterior al solicitante mediante la entrega del acuse de recibo correspondiente.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confiere una participación específica a los Comités de Transparencia para garantizar la búsqueda exhaustiva de la información, así como también se les confiere competencia para declarar los casos en que la información se considere reservada o resulte improcedente su entrega por existir algún impedimento legal. En el documento se previenen la posibilidad de que siendo inexistente la información solicitada, el sujeto obligado deba generarla por ser una de sus facultades o atribuciones.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“Del recurso de revisión”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22 artículos</w:t>
      </w:r>
      <w:r w:rsidRPr="0040486F">
        <w:rPr>
          <w:rFonts w:asciiTheme="minorHAnsi" w:eastAsia="Times New Roman" w:hAnsiTheme="minorHAnsi" w:cs="Arial"/>
          <w:i/>
          <w:color w:val="000000" w:themeColor="text1"/>
          <w:sz w:val="24"/>
          <w:szCs w:val="24"/>
          <w:lang w:eastAsia="es-MX"/>
        </w:rPr>
        <w:t>, en el que se otorga competencia al Organismo Garante para conocer de este medio de impugnación y se establecen los medios para tramitarlo, las causas que determinan su procedencia y el término para interponerlo; se mencionan también los requisitos que debe satisfacer el escrito con el que se interponga y las fases del procedimiento para sustanciarlo, las causas que resultan válidas para desechar y sobreseer los recursos, así como los requisitos y contenidos que deben satisfacer las resoluciones.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Séptimo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 los medios para hacer efectivas las determinaciones del Organismo Garante”</w:t>
      </w:r>
      <w:r w:rsidRPr="0040486F">
        <w:rPr>
          <w:rFonts w:asciiTheme="minorHAnsi" w:eastAsia="Times New Roman" w:hAnsiTheme="minorHAnsi" w:cs="Arial"/>
          <w:i/>
          <w:color w:val="000000" w:themeColor="text1"/>
          <w:sz w:val="24"/>
          <w:szCs w:val="24"/>
          <w:lang w:eastAsia="es-MX"/>
        </w:rPr>
        <w:t>, se integra con dos capítulos: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 “De las medidas de apremio”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5 artículos</w:t>
      </w:r>
      <w:r w:rsidRPr="0040486F">
        <w:rPr>
          <w:rFonts w:asciiTheme="minorHAnsi" w:eastAsia="Times New Roman" w:hAnsiTheme="minorHAnsi" w:cs="Arial"/>
          <w:i/>
          <w:color w:val="000000" w:themeColor="text1"/>
          <w:sz w:val="24"/>
          <w:szCs w:val="24"/>
          <w:lang w:eastAsia="es-MX"/>
        </w:rPr>
        <w:t>, en el que se contemplan los medios de que podrá hacer uso el Organismo Garante para el debido cumplimiento de sus resoluciones, precisándose en alcance a lo establecido en la Ley General la existencia de la amonestación pública como una de dichas medidas y la multa que podrá aplicarse por el importe del equivalente de ciento cincuenta a mil quinientas unidades de salario mínimo.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 las sanciones”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7 artículos</w:t>
      </w:r>
      <w:r w:rsidRPr="0040486F">
        <w:rPr>
          <w:rFonts w:asciiTheme="minorHAnsi" w:eastAsia="Times New Roman" w:hAnsiTheme="minorHAnsi" w:cs="Arial"/>
          <w:i/>
          <w:color w:val="000000" w:themeColor="text1"/>
          <w:sz w:val="24"/>
          <w:szCs w:val="24"/>
          <w:lang w:eastAsia="es-MX"/>
        </w:rPr>
        <w:t xml:space="preserve">, en el que se incluyen las conductas o causales de infracción, vinculándolas con la categoría de pena a imponerse y las entidades competentes para su determinación, correspondiendo al Organismo Garante imponer la de apercibimiento así como las sanciones de carácter económico y a las entidades que previene la Ley Estatal de Responsabilidades de </w:t>
      </w:r>
      <w:r w:rsidRPr="0040486F">
        <w:rPr>
          <w:rFonts w:asciiTheme="minorHAnsi" w:eastAsia="Times New Roman" w:hAnsiTheme="minorHAnsi" w:cs="Arial"/>
          <w:i/>
          <w:color w:val="000000" w:themeColor="text1"/>
          <w:sz w:val="24"/>
          <w:szCs w:val="24"/>
          <w:lang w:eastAsia="es-MX"/>
        </w:rPr>
        <w:lastRenderedPageBreak/>
        <w:t xml:space="preserve">los Servidores Públicos las que procedan en los casos de aplicación de dicha norma; se menciona cuáles serán estas medidas las que en concordancia con la Ley General son el apercibimiento, la multa por el importe de ciento cincuenta a mil quinientas unidades de salario mínimo general vigente y las diversas previstas por la Ley de Responsabilidades.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confiere facultades al Organismo Garante para hacer la determinación correspondiente así como para turnar a los órganos de control las actuaciones y constancias de las que pudiera advertirse la existencia de responsabilidad administrativa de los servidores públicos así como para dar aviso al Ministerio Público si existen elementos para considerar la probable comisión de un delito.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Finalmente, los integrantes de esta Comisión, convergen con los objetivos planteados en el ordenamiento legal que hoy se propone, en el sentido de que la ciudadanía podrá utilizar los avances tecnológicos para conocer la información pública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Por último, esta Comisión, en uso de las facultades que confiere el artículo 130 del Reglamento de la Ley Orgánica del Poder Legislativo del Estado Libre y Soberano de Colima, y como se expresó en el primer párrafo del considerando Noveno del presente documento, se acordó unificar las cuatro iniciativas en un nuevo texto normativo que contenga la redacción y definiciones que más favorezca a las personas, en garantía y protección del derecho humano de acceso a la información pública y la transparencia. En ese orden de ideas, los integrantes de esta Comisión, realizaron un detallado análisis de la redacción del nuevo texto legal; se corrigió ortografía y técnica legislativa, para dar un mayor entendimiento y comprensión a la nueva Ley de Transparencia y Acceso a la Información Pública del Estado de Colima. </w:t>
      </w:r>
    </w:p>
    <w:p w:rsidR="00810F69" w:rsidRPr="0040486F" w:rsidRDefault="00810F69" w:rsidP="00810F69">
      <w:pPr>
        <w:spacing w:after="120" w:line="240" w:lineRule="auto"/>
        <w:ind w:left="-142"/>
        <w:jc w:val="both"/>
        <w:rPr>
          <w:rFonts w:asciiTheme="minorHAnsi" w:hAnsiTheme="minorHAnsi" w:cs="Calibri"/>
          <w:i/>
          <w:sz w:val="24"/>
          <w:szCs w:val="24"/>
        </w:rPr>
      </w:pPr>
      <w:r w:rsidRPr="0040486F">
        <w:rPr>
          <w:rFonts w:asciiTheme="minorHAnsi" w:eastAsia="Times New Roman" w:hAnsiTheme="minorHAnsi" w:cs="Arial"/>
          <w:i/>
          <w:color w:val="000000" w:themeColor="text1"/>
          <w:sz w:val="24"/>
          <w:szCs w:val="24"/>
          <w:lang w:eastAsia="es-MX"/>
        </w:rPr>
        <w:t>Por lo expuesto, y con fundamento en los artículos del 90 al 93 de la Ley Orgánica del Poder Legislativo del Estado de Colima y del 129 al 132 de su Reglamento</w:t>
      </w:r>
      <w:r w:rsidRPr="0040486F">
        <w:rPr>
          <w:rFonts w:asciiTheme="minorHAnsi" w:hAnsiTheme="minorHAnsi" w:cs="Calibri"/>
          <w:i/>
          <w:sz w:val="24"/>
          <w:szCs w:val="24"/>
        </w:rPr>
        <w:t xml:space="preserve">, se expide el siguiente: </w:t>
      </w:r>
    </w:p>
    <w:p w:rsidR="00810F69" w:rsidRPr="0040486F" w:rsidRDefault="00810F69" w:rsidP="00810F69">
      <w:pPr>
        <w:spacing w:after="120" w:line="240" w:lineRule="auto"/>
        <w:ind w:left="-142"/>
        <w:jc w:val="both"/>
        <w:rPr>
          <w:rFonts w:asciiTheme="minorHAnsi" w:hAnsiTheme="minorHAnsi" w:cs="Calibri"/>
          <w:i/>
          <w:sz w:val="24"/>
          <w:szCs w:val="24"/>
        </w:rPr>
      </w:pPr>
    </w:p>
    <w:p w:rsidR="00810F69" w:rsidRPr="0040486F" w:rsidRDefault="00810F69" w:rsidP="00810F69">
      <w:pPr>
        <w:pStyle w:val="BodyText2"/>
        <w:spacing w:after="120"/>
        <w:ind w:left="-142" w:right="299"/>
        <w:jc w:val="center"/>
        <w:rPr>
          <w:rFonts w:asciiTheme="minorHAnsi" w:hAnsiTheme="minorHAnsi" w:cs="Calibri"/>
          <w:b/>
          <w:i/>
          <w:szCs w:val="24"/>
          <w:lang w:val="es-MX"/>
        </w:rPr>
      </w:pPr>
      <w:r w:rsidRPr="0040486F">
        <w:rPr>
          <w:rFonts w:asciiTheme="minorHAnsi" w:hAnsiTheme="minorHAnsi" w:cs="Calibri"/>
          <w:b/>
          <w:i/>
          <w:szCs w:val="24"/>
          <w:lang w:val="es-MX"/>
        </w:rPr>
        <w:t>D E C R E T O   No. 93</w:t>
      </w:r>
    </w:p>
    <w:p w:rsidR="00810F69"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p>
    <w:p w:rsidR="00810F69" w:rsidRPr="0040486F"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ARTÍCULO ÚNICO.- </w:t>
      </w:r>
      <w:r w:rsidRPr="0040486F">
        <w:rPr>
          <w:rFonts w:asciiTheme="minorHAnsi" w:eastAsia="Times New Roman" w:hAnsiTheme="minorHAnsi" w:cs="Arial"/>
          <w:i/>
          <w:color w:val="000000" w:themeColor="text1"/>
          <w:sz w:val="24"/>
          <w:szCs w:val="24"/>
          <w:lang w:eastAsia="es-MX"/>
        </w:rPr>
        <w:t>Es de aprobarse y se aprueba, la Ley de Transparencia y Acceso a la Información Pública del Estado de Colima, para quedar como sigue:</w:t>
      </w:r>
    </w:p>
    <w:p w:rsidR="00810F69" w:rsidRPr="0040486F"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p>
    <w:p w:rsidR="00810F69" w:rsidRPr="0040486F" w:rsidRDefault="00810F69" w:rsidP="00810F69">
      <w:pPr>
        <w:spacing w:after="120" w:line="240" w:lineRule="auto"/>
        <w:ind w:left="-142" w:right="51"/>
        <w:jc w:val="center"/>
        <w:rPr>
          <w:rFonts w:asciiTheme="minorHAnsi" w:eastAsia="Times New Roman" w:hAnsiTheme="minorHAnsi" w:cs="Arial"/>
          <w:b/>
          <w:i/>
          <w:sz w:val="24"/>
          <w:szCs w:val="24"/>
          <w:lang w:eastAsia="es-MX"/>
        </w:rPr>
      </w:pPr>
      <w:r w:rsidRPr="0040486F">
        <w:rPr>
          <w:rFonts w:asciiTheme="minorHAnsi" w:eastAsia="Times New Roman" w:hAnsiTheme="minorHAnsi" w:cs="Arial"/>
          <w:b/>
          <w:i/>
          <w:sz w:val="24"/>
          <w:szCs w:val="24"/>
          <w:lang w:eastAsia="es-MX"/>
        </w:rPr>
        <w:t>LEY DE TRANSPARENCIA Y ACCESO A LA INFORMACIÓN PÚBLICA</w:t>
      </w:r>
    </w:p>
    <w:p w:rsidR="00810F69" w:rsidRPr="0040486F" w:rsidRDefault="00810F69" w:rsidP="00810F69">
      <w:pPr>
        <w:spacing w:after="120" w:line="240" w:lineRule="auto"/>
        <w:ind w:left="-142" w:right="51"/>
        <w:jc w:val="center"/>
        <w:rPr>
          <w:rFonts w:asciiTheme="minorHAnsi" w:eastAsia="Times New Roman" w:hAnsiTheme="minorHAnsi" w:cs="Arial"/>
          <w:b/>
          <w:i/>
          <w:color w:val="000000" w:themeColor="text1"/>
          <w:sz w:val="24"/>
          <w:szCs w:val="24"/>
          <w:lang w:eastAsia="es-MX"/>
        </w:rPr>
      </w:pPr>
      <w:r w:rsidRPr="0040486F">
        <w:rPr>
          <w:rFonts w:asciiTheme="minorHAnsi" w:eastAsia="Times New Roman" w:hAnsiTheme="minorHAnsi" w:cs="Arial"/>
          <w:b/>
          <w:i/>
          <w:sz w:val="24"/>
          <w:szCs w:val="24"/>
          <w:lang w:eastAsia="es-MX"/>
        </w:rPr>
        <w:t>DEL ESTADO DE COLIMA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PRIMERO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DISPOSICIONES GENERALES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OBJETO DE LA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w:t>
      </w:r>
      <w:r w:rsidRPr="0040486F">
        <w:rPr>
          <w:rFonts w:asciiTheme="minorHAnsi" w:eastAsia="Times New Roman" w:hAnsiTheme="minorHAnsi" w:cs="Arial"/>
          <w:i/>
          <w:sz w:val="24"/>
          <w:szCs w:val="24"/>
          <w:lang w:eastAsia="es-ES"/>
        </w:rPr>
        <w:t>.- La presente Ley es de orden público e interés social, de observancia general en el territorio del Estado de Colima, y es reglamentaria de los artículos 6º de la Constitución Política de los Estados Unidos Mexicanos y 1º, fracción IV, de la Constitución Política del Estado Libre y Soberano de Colima, en materia de transparencia y acceso a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Tiene por objeto establecer las condiciones a que deben sujetarse autoridades, entidades, órganos, organismos, personas físicas o morales que posean información para transparentar sus actividades; sustentar los mecanismos de coordinación con el Sistema Nacional de Transparencia, así como garantizar el ejercicio del derecho que a toda persona corresponde, de tener acceso a la información pública en 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w:t>
      </w:r>
      <w:r w:rsidRPr="0040486F">
        <w:rPr>
          <w:rFonts w:asciiTheme="minorHAnsi" w:eastAsia="Times New Roman" w:hAnsiTheme="minorHAnsi" w:cs="Arial"/>
          <w:i/>
          <w:sz w:val="24"/>
          <w:szCs w:val="24"/>
          <w:lang w:eastAsia="es-ES"/>
        </w:rPr>
        <w:t>.- El derecho de acceso a la información pública se interpretará conforme al principio pro persona, a la Constitución Política de los Estados Unidos Mexicanos, la Declaración Universal de los Derechos Humanos, el Pacto Internacional de Derechos Civiles y Políticos, la Convención Americana sobre Derechos Humanos, la Convención sobre la Eliminación de Todas las Formas de Discriminación Contra la Mujer y demás instrumentos internacionales suscritos y ratificados por el Estado Mexicano y la interpretación que de los mismos hayan realizado los órganos internacionales especializados, así como lo dispuesto por la Ley General de Transparencia y Acceso a la Información Pública y la Constitución Política del Estado Libre y Soberano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w:t>
      </w:r>
      <w:r w:rsidRPr="0040486F">
        <w:rPr>
          <w:rFonts w:asciiTheme="minorHAnsi" w:eastAsia="Times New Roman" w:hAnsiTheme="minorHAnsi" w:cs="Arial"/>
          <w:i/>
          <w:sz w:val="24"/>
          <w:szCs w:val="24"/>
          <w:lang w:eastAsia="es-ES"/>
        </w:rPr>
        <w:t xml:space="preserve"> Son objetivos de esta Ley, los siguientes: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los mecanismos necesarios para que toda persona pueda tener acceso a la información pública mediante procedimientos sencillos y expeditos;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Transparentar el ejercicio de la función pública a través de un flujo de información oportuno, verificable e integral, a fin de impulsar el combate a la corrupción; </w:t>
      </w:r>
    </w:p>
    <w:p w:rsidR="00810F69"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Garantizar una adecuada y oportuna rendición de cuentas de los sujetos obligados, a través de la generación y publicación de información sobre sus indicadores de gestión y el ejercicio de los recursos públicos de manera completa, veraz, oportuna y comprensible;</w:t>
      </w:r>
    </w:p>
    <w:p w:rsidR="00810F69" w:rsidRPr="00B84006" w:rsidRDefault="00810F69" w:rsidP="00810F69">
      <w:pPr>
        <w:numPr>
          <w:ilvl w:val="0"/>
          <w:numId w:val="13"/>
        </w:numPr>
        <w:spacing w:after="120" w:line="240" w:lineRule="auto"/>
        <w:ind w:left="567" w:hanging="709"/>
        <w:jc w:val="both"/>
        <w:rPr>
          <w:rFonts w:asciiTheme="minorHAnsi" w:eastAsia="Times New Roman" w:hAnsiTheme="minorHAnsi" w:cs="Arial"/>
          <w:i/>
          <w:color w:val="FF0000"/>
          <w:sz w:val="24"/>
          <w:szCs w:val="24"/>
          <w:lang w:eastAsia="es-ES"/>
        </w:rPr>
      </w:pPr>
      <w:r w:rsidRPr="00B84006">
        <w:rPr>
          <w:rFonts w:asciiTheme="minorHAnsi" w:eastAsia="Times New Roman" w:hAnsiTheme="minorHAnsi" w:cs="Arial"/>
          <w:i/>
          <w:sz w:val="24"/>
          <w:szCs w:val="24"/>
          <w:lang w:eastAsia="es-ES"/>
        </w:rPr>
        <w:t xml:space="preserve">Promover la eficiencia en la organización, clasificación, manejo y transparencia de los documentos públicos;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Mejorar los niveles de participación ciudadana en la toma de decisiones de gobierno y en la evaluación de las políticas públicas;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Instrumentar y regular los procedimientos para la sustanciación de los recursos de revisión;</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Instituir la facultad del Organismo Garante para presentar iniciativas de ley en las materias de su conocimiento, así como su competencia para la interposición de acciones de inconstitucionalidad;</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Establecer los términos de participación del Organismo Garante en el Sistema Nacional de Transparencia;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Definir el procedimiento que debe seguir para que el Organismo Garante ejerza la facultad de determinar rubros adicionales de información que deban publicar los sujetos obligados;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Establecer los mecanismos para garantizar el cumplimiento de las resoluciones del Organismo Garante, así como la aplicación de las medidas de apremio y la imposición de sanciones, en los casos que proceda;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Contribuir a mejorar la rendición de cuentas, la consolidación de la democracia, y el manejo responsable de la información en el Estado;</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Resolver sobre la clasificación de la información pública en posesión de los sujetos obligados y mejorar la organización de archivos;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Vigilar la protección de los datos personales en posesión de los sujetos obligados, como información confidencial, de conformidad con las disposiciones legales aplicables;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Regular la organización y funcionamiento del Instituto de Transparencia, Acceso a la Información Pública y Protección de Datos del Estado de Colima; y</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Establecer las bases y la información de interés público que se debe difundir proactivamente. </w:t>
      </w:r>
    </w:p>
    <w:p w:rsidR="00810F69"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w:t>
      </w:r>
      <w:r w:rsidRPr="0040486F">
        <w:rPr>
          <w:rFonts w:asciiTheme="minorHAnsi" w:eastAsia="Times New Roman" w:hAnsiTheme="minorHAnsi" w:cs="Arial"/>
          <w:i/>
          <w:sz w:val="24"/>
          <w:szCs w:val="24"/>
          <w:lang w:eastAsia="es-ES"/>
        </w:rPr>
        <w:t>.- Para los efectos de la presente Ley, se entenderá por:</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Comisionado</w:t>
      </w:r>
      <w:r w:rsidRPr="0040486F">
        <w:rPr>
          <w:rFonts w:asciiTheme="minorHAnsi" w:eastAsia="Times New Roman" w:hAnsiTheme="minorHAnsi" w:cs="Arial"/>
          <w:i/>
          <w:sz w:val="24"/>
          <w:szCs w:val="24"/>
          <w:lang w:eastAsia="es-ES"/>
        </w:rPr>
        <w:t xml:space="preserve">: Cada uno de los integrantes del pleno del Organismo Garante; </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Comisión de Derechos Humanos</w:t>
      </w:r>
      <w:r w:rsidRPr="0040486F">
        <w:rPr>
          <w:rFonts w:asciiTheme="minorHAnsi" w:eastAsia="Times New Roman" w:hAnsiTheme="minorHAnsi" w:cs="Arial"/>
          <w:i/>
          <w:sz w:val="24"/>
          <w:szCs w:val="24"/>
          <w:lang w:eastAsia="es-ES"/>
        </w:rPr>
        <w:t>: La Comisión de Derechos Humanos del Estado de Colima;</w:t>
      </w:r>
    </w:p>
    <w:p w:rsidR="00810F69" w:rsidRPr="00B84006"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Comité de Transparencia</w:t>
      </w:r>
      <w:r w:rsidRPr="00B84006">
        <w:rPr>
          <w:rFonts w:asciiTheme="minorHAnsi" w:eastAsia="Times New Roman" w:hAnsiTheme="minorHAnsi" w:cs="Arial"/>
          <w:i/>
          <w:sz w:val="24"/>
          <w:szCs w:val="24"/>
          <w:lang w:eastAsia="es-ES"/>
        </w:rPr>
        <w:t xml:space="preserve">: Es el órgano administrativo colegiado que deberá constituirse en cada sujeto obligado, en términos de la Ley General y de la presente Ley, que tendrá a su cargo el desempeño de las funciones específicas que se le otorguen para dar certeza a los procesos inherentes a la gestión y entrega de información pública; </w:t>
      </w:r>
      <w:r w:rsidRPr="00B84006">
        <w:rPr>
          <w:rFonts w:asciiTheme="minorHAnsi" w:eastAsia="Times New Roman" w:hAnsiTheme="minorHAnsi" w:cs="Arial"/>
          <w:b/>
          <w:i/>
          <w:sz w:val="24"/>
          <w:szCs w:val="24"/>
          <w:lang w:eastAsia="es-ES"/>
        </w:rPr>
        <w:t>Congreso</w:t>
      </w:r>
      <w:r w:rsidRPr="00B84006">
        <w:rPr>
          <w:rFonts w:asciiTheme="minorHAnsi" w:eastAsia="Times New Roman" w:hAnsiTheme="minorHAnsi" w:cs="Arial"/>
          <w:i/>
          <w:sz w:val="24"/>
          <w:szCs w:val="24"/>
          <w:lang w:eastAsia="es-ES"/>
        </w:rPr>
        <w:t>: El Honorable Congreso del Estado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Constitución</w:t>
      </w:r>
      <w:r w:rsidRPr="0040486F">
        <w:rPr>
          <w:rFonts w:asciiTheme="minorHAnsi" w:eastAsia="Times New Roman" w:hAnsiTheme="minorHAnsi" w:cs="Arial"/>
          <w:i/>
          <w:sz w:val="24"/>
          <w:szCs w:val="24"/>
          <w:lang w:eastAsia="es-ES"/>
        </w:rPr>
        <w:t>: La Constitución Política del Estado Libre y Soberano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Consejo Consultivo</w:t>
      </w:r>
      <w:r w:rsidRPr="0040486F">
        <w:rPr>
          <w:rFonts w:asciiTheme="minorHAnsi" w:eastAsia="Times New Roman" w:hAnsiTheme="minorHAnsi" w:cs="Arial"/>
          <w:i/>
          <w:sz w:val="24"/>
          <w:szCs w:val="24"/>
          <w:lang w:eastAsia="es-ES"/>
        </w:rPr>
        <w:t>: Es el órgano colegiado integrado en términos de lo dispuesto en el Capítulo III del Título Cuarto de esta Ley, cuyo propósito sustancial es otorgar apoyo a la función del organismo garante y coadyuvar al mejoramiento de las condiciones del derecho de acceso a la información pública en el Estado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abiertos</w:t>
      </w:r>
      <w:r w:rsidRPr="0040486F">
        <w:rPr>
          <w:rFonts w:asciiTheme="minorHAnsi" w:eastAsia="Times New Roman" w:hAnsiTheme="minorHAnsi" w:cs="Arial"/>
          <w:i/>
          <w:sz w:val="24"/>
          <w:szCs w:val="24"/>
          <w:lang w:eastAsia="es-ES"/>
        </w:rPr>
        <w:t>: Los datos digitales de carácter público que son accesibles en línea que pueden ser usados, reutilizados y redistribuidos por cualquier interesado y que tienen las siguientes características:</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Accesibles: Los datos están disponibles para la gama más amplia de usuarios, para cualquier propósito;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Integrales: Contienen el tema que describen a detalle y con los metadatos necesarios;</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Gratuitos: Se obtienen sin entregar a cambio contraprestación alguna;</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No discriminatorios: Los datos están disponibles para cualquier persona, sin necesidad de registro;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Oportunos: Son actualizados, periódicamente, conforme se generen;</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Permanentes: Se conservan en el tiempo, para lo cual, las versiones históricas relevantes para uso público se mantendrán disponibles con identificadores adecuados al efecto;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Primarios: Provienen de la fuente de origen con el máximo nivel de desagregación posible;</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Legibles por máquinas: Deberán estar estructurados, total o parcialmente, para ser procesados e interpretados por equipos electrónicos de manera automática;</w:t>
      </w:r>
    </w:p>
    <w:p w:rsidR="00810F69" w:rsidRPr="00361D52"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361D52">
        <w:rPr>
          <w:rFonts w:asciiTheme="minorHAnsi" w:eastAsia="Times New Roman" w:hAnsiTheme="minorHAnsi" w:cs="Arial"/>
          <w:i/>
          <w:sz w:val="24"/>
          <w:szCs w:val="24"/>
          <w:lang w:eastAsia="es-ES"/>
        </w:rPr>
        <w:t>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libre uso: Citan la fuente de origen como único requerimiento para ser utilizados libremente;</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personales</w:t>
      </w:r>
      <w:r w:rsidRPr="0040486F">
        <w:rPr>
          <w:rFonts w:asciiTheme="minorHAnsi" w:eastAsia="Times New Roman" w:hAnsiTheme="minorHAnsi" w:cs="Arial"/>
          <w:i/>
          <w:sz w:val="24"/>
          <w:szCs w:val="24"/>
          <w:lang w:eastAsia="es-ES"/>
        </w:rPr>
        <w:t>: Información concerniente a una persona física individualizada o identificable;</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sensibles</w:t>
      </w:r>
      <w:r w:rsidRPr="0040486F">
        <w:rPr>
          <w:rFonts w:asciiTheme="minorHAnsi" w:eastAsia="Times New Roman" w:hAnsiTheme="minorHAnsi" w:cs="Arial"/>
          <w:i/>
          <w:sz w:val="24"/>
          <w:szCs w:val="24"/>
          <w:lang w:eastAsia="es-ES"/>
        </w:rPr>
        <w:t>: Los datos personales que revelan origen racial y étnico, convicciones religiosas, filosóficas o morales e información referente a la salud, vida sexual, o características genéticas, así como cualquier dato inherente a la esfera más íntima de su titular o que pueda dar origen a discriminación;</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Documentos</w:t>
      </w:r>
      <w:r w:rsidRPr="0040486F">
        <w:rPr>
          <w:rFonts w:asciiTheme="minorHAnsi" w:eastAsia="Times New Roman" w:hAnsiTheme="minorHAnsi" w:cs="Arial"/>
          <w:i/>
          <w:sz w:val="24"/>
          <w:szCs w:val="24"/>
          <w:lang w:eastAsia="es-ES"/>
        </w:rPr>
        <w:t>: Los expedientes, reportes, estudios, actas, resoluciones, oficios, correspondencia, acuerdos, directrices, circulares, contratos, convenios, instructivos, notas, memorandos, minutas, estadísticas o bien, cualquier otro registro en posesión de los sujetos obligados y sus servidores públicos, sin importar su fuente o fecha de elaboración. Los documentos podrán estar en cualquier medio, entre otros, escrito, impreso, sonoro, visual, electrónico, informático u holográfico;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Expediente</w:t>
      </w:r>
      <w:r w:rsidRPr="0040486F">
        <w:rPr>
          <w:rFonts w:asciiTheme="minorHAnsi" w:eastAsia="Times New Roman" w:hAnsiTheme="minorHAnsi" w:cs="Arial"/>
          <w:i/>
          <w:sz w:val="24"/>
          <w:szCs w:val="24"/>
          <w:lang w:eastAsia="es-ES"/>
        </w:rPr>
        <w:t>: La unidad documental constituida por uno o varios documentos de archivo, ordenados y relacionados por un mismo asunto, actividad o trámite de los sujetos obligados;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Información</w:t>
      </w:r>
      <w:r w:rsidRPr="0040486F">
        <w:rPr>
          <w:rFonts w:asciiTheme="minorHAnsi" w:eastAsia="Times New Roman" w:hAnsiTheme="minorHAnsi" w:cs="Arial"/>
          <w:i/>
          <w:sz w:val="24"/>
          <w:szCs w:val="24"/>
          <w:lang w:eastAsia="es-ES"/>
        </w:rPr>
        <w:t>: La contenida en los documentos que los sujetos obligados obtienen, adquieren, administran, transforman o conservan por cualquier título, o bien aquella que por una obligación legal deban de generar;</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 xml:space="preserve">Información de interés público: </w:t>
      </w:r>
      <w:r w:rsidRPr="0040486F">
        <w:rPr>
          <w:rFonts w:asciiTheme="minorHAnsi" w:eastAsia="Times New Roman" w:hAnsiTheme="minorHAnsi" w:cs="Arial"/>
          <w:i/>
          <w:sz w:val="24"/>
          <w:szCs w:val="24"/>
          <w:lang w:eastAsia="es-ES"/>
        </w:rPr>
        <w:t>La que resulta relevante o beneficiosa para la sociedad y no simplemente de interés individual;</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Información pública</w:t>
      </w:r>
      <w:r w:rsidRPr="0040486F">
        <w:rPr>
          <w:rFonts w:asciiTheme="minorHAnsi" w:eastAsia="Times New Roman" w:hAnsiTheme="minorHAnsi" w:cs="Arial"/>
          <w:i/>
          <w:sz w:val="24"/>
          <w:szCs w:val="24"/>
          <w:lang w:eastAsia="es-ES"/>
        </w:rPr>
        <w:t>: Todo registro, archivo, documento o cualquier dato que se recopile, mantenga, procese o se encuentre en poder de los sujetos obligados, que no tenga el carácter de confidencial, ni reservado;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Información de publicación obligatoria</w:t>
      </w:r>
      <w:r w:rsidRPr="0040486F">
        <w:rPr>
          <w:rFonts w:asciiTheme="minorHAnsi" w:eastAsia="Times New Roman" w:hAnsiTheme="minorHAnsi" w:cs="Arial"/>
          <w:i/>
          <w:sz w:val="24"/>
          <w:szCs w:val="24"/>
          <w:lang w:eastAsia="es-ES"/>
        </w:rPr>
        <w:t>: Aquella que los sujetos obligados deben tener permanentemente en internet a disposición del público para su consulta, en los términos del presente ordenamiento;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Información reservada</w:t>
      </w:r>
      <w:r w:rsidRPr="0040486F">
        <w:rPr>
          <w:rFonts w:asciiTheme="minorHAnsi" w:eastAsia="Times New Roman" w:hAnsiTheme="minorHAnsi" w:cs="Arial"/>
          <w:i/>
          <w:sz w:val="24"/>
          <w:szCs w:val="24"/>
          <w:lang w:eastAsia="es-ES"/>
        </w:rPr>
        <w:t>: La información que se encuentra temporalmente sujeta a alguna de las excepciones de publicidad previstas en esta Ley;</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Interés público</w:t>
      </w:r>
      <w:r w:rsidRPr="0040486F">
        <w:rPr>
          <w:rFonts w:asciiTheme="minorHAnsi" w:eastAsia="Times New Roman" w:hAnsiTheme="minorHAnsi" w:cs="Arial"/>
          <w:i/>
          <w:sz w:val="24"/>
          <w:szCs w:val="24"/>
          <w:lang w:eastAsia="es-ES"/>
        </w:rPr>
        <w:t>: La valoración atribuida a los fines que persigue la consulta y examen de la información pública, a efecto de contribuir a la informada toma de decisiones de las personas en el marco de una sociedad democrática;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Organismo Garante</w:t>
      </w:r>
      <w:r w:rsidRPr="0040486F">
        <w:rPr>
          <w:rFonts w:asciiTheme="minorHAnsi" w:eastAsia="Times New Roman" w:hAnsiTheme="minorHAnsi" w:cs="Arial"/>
          <w:i/>
          <w:sz w:val="24"/>
          <w:szCs w:val="24"/>
          <w:lang w:eastAsia="es-ES"/>
        </w:rPr>
        <w:t>: El Instituto de Transparencia, Acceso a la Información Pública y Protección de Datos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Organismo Garante Nacional</w:t>
      </w:r>
      <w:r w:rsidRPr="0040486F">
        <w:rPr>
          <w:rFonts w:asciiTheme="minorHAnsi" w:eastAsia="Times New Roman" w:hAnsiTheme="minorHAnsi" w:cs="Arial"/>
          <w:i/>
          <w:sz w:val="24"/>
          <w:szCs w:val="24"/>
          <w:lang w:eastAsia="es-ES"/>
        </w:rPr>
        <w:t>: El Instituto Nacional de Transparencia, Acceso a la Información y Protección de Datos Personales;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w:t>
      </w:r>
      <w:r w:rsidRPr="0040486F">
        <w:rPr>
          <w:rFonts w:asciiTheme="minorHAnsi" w:eastAsia="Times New Roman" w:hAnsiTheme="minorHAnsi" w:cs="Arial"/>
          <w:i/>
          <w:sz w:val="24"/>
          <w:szCs w:val="24"/>
          <w:lang w:eastAsia="es-ES"/>
        </w:rPr>
        <w:t>: La Ley de Transparencia y Acceso a la Información Pública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 Archivos</w:t>
      </w:r>
      <w:r w:rsidRPr="0040486F">
        <w:rPr>
          <w:rFonts w:asciiTheme="minorHAnsi" w:eastAsia="Times New Roman" w:hAnsiTheme="minorHAnsi" w:cs="Arial"/>
          <w:i/>
          <w:sz w:val="24"/>
          <w:szCs w:val="24"/>
          <w:lang w:eastAsia="es-ES"/>
        </w:rPr>
        <w:t>: La Ley de Archivos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del Procedimiento Administrativo</w:t>
      </w:r>
      <w:r w:rsidRPr="0040486F">
        <w:rPr>
          <w:rFonts w:asciiTheme="minorHAnsi" w:eastAsia="Times New Roman" w:hAnsiTheme="minorHAnsi" w:cs="Arial"/>
          <w:i/>
          <w:sz w:val="24"/>
          <w:szCs w:val="24"/>
          <w:lang w:eastAsia="es-ES"/>
        </w:rPr>
        <w:t>: La Ley del Procedimiento Administrativo del Estado de Colima y sus Municipios;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 Responsabilidades</w:t>
      </w:r>
      <w:r w:rsidRPr="0040486F">
        <w:rPr>
          <w:rFonts w:asciiTheme="minorHAnsi" w:eastAsia="Times New Roman" w:hAnsiTheme="minorHAnsi" w:cs="Arial"/>
          <w:i/>
          <w:sz w:val="24"/>
          <w:szCs w:val="24"/>
          <w:lang w:eastAsia="es-ES"/>
        </w:rPr>
        <w:t>: La Ley Estatal de Responsabilidades de los Servidores Públicos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General</w:t>
      </w:r>
      <w:r w:rsidRPr="0040486F">
        <w:rPr>
          <w:rFonts w:asciiTheme="minorHAnsi" w:eastAsia="Times New Roman" w:hAnsiTheme="minorHAnsi" w:cs="Arial"/>
          <w:i/>
          <w:sz w:val="24"/>
          <w:szCs w:val="24"/>
          <w:lang w:eastAsia="es-ES"/>
        </w:rPr>
        <w:t xml:space="preserve">: La Ley General de Transparencia y Acceso a la Información Pública; </w:t>
      </w:r>
    </w:p>
    <w:p w:rsidR="00810F69" w:rsidRPr="00797EED"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Persona que ejerce actos de autoridad</w:t>
      </w:r>
      <w:r w:rsidRPr="0040486F">
        <w:rPr>
          <w:rFonts w:asciiTheme="minorHAnsi" w:eastAsia="Times New Roman" w:hAnsiTheme="minorHAnsi" w:cs="Arial"/>
          <w:i/>
          <w:sz w:val="24"/>
          <w:szCs w:val="24"/>
          <w:lang w:eastAsia="es-ES"/>
        </w:rPr>
        <w:t xml:space="preserve">: Es toda aquella que, con independencia de su naturaleza formal dicta, ordena, ejecuta o trata de ejecutar el acto que crea, modifica o extingue situaciones jurídicas en forma unilateral y obligatoria, y omita el acto que de realizarse </w:t>
      </w:r>
      <w:r w:rsidRPr="00797EED">
        <w:rPr>
          <w:rFonts w:asciiTheme="minorHAnsi" w:eastAsia="Times New Roman" w:hAnsiTheme="minorHAnsi" w:cs="Arial"/>
          <w:i/>
          <w:sz w:val="24"/>
          <w:szCs w:val="24"/>
          <w:lang w:eastAsia="es-ES"/>
        </w:rPr>
        <w:t>crearía, modificaría o extinguiría dichas situaciones jurídicas;</w:t>
      </w:r>
    </w:p>
    <w:p w:rsidR="00810F69" w:rsidRPr="00B84006"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Plataforma Nacional de Transparencia:</w:t>
      </w:r>
      <w:r w:rsidRPr="00B84006">
        <w:rPr>
          <w:rFonts w:asciiTheme="minorHAnsi" w:eastAsia="Times New Roman" w:hAnsiTheme="minorHAnsi" w:cs="Arial"/>
          <w:i/>
          <w:sz w:val="24"/>
          <w:szCs w:val="24"/>
          <w:lang w:eastAsia="es-ES"/>
        </w:rPr>
        <w:t xml:space="preserve"> La descrita en la Ley General de Transparencia y Acceso a la Información Pública;  </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797EED">
        <w:rPr>
          <w:rFonts w:asciiTheme="minorHAnsi" w:eastAsia="Times New Roman" w:hAnsiTheme="minorHAnsi" w:cs="Arial"/>
          <w:b/>
          <w:i/>
          <w:sz w:val="24"/>
          <w:szCs w:val="24"/>
          <w:lang w:eastAsia="es-ES"/>
        </w:rPr>
        <w:t>Reglamento</w:t>
      </w:r>
      <w:r w:rsidRPr="0040486F">
        <w:rPr>
          <w:rFonts w:asciiTheme="minorHAnsi" w:eastAsia="Times New Roman" w:hAnsiTheme="minorHAnsi" w:cs="Arial"/>
          <w:i/>
          <w:sz w:val="24"/>
          <w:szCs w:val="24"/>
          <w:lang w:eastAsia="es-ES"/>
        </w:rPr>
        <w:t xml:space="preserve">: El Reglamento Interior del Organismo Garante: </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Servidor público</w:t>
      </w:r>
      <w:r w:rsidRPr="0040486F">
        <w:rPr>
          <w:rFonts w:asciiTheme="minorHAnsi" w:eastAsia="Times New Roman" w:hAnsiTheme="minorHAnsi" w:cs="Arial"/>
          <w:i/>
          <w:sz w:val="24"/>
          <w:szCs w:val="24"/>
          <w:lang w:eastAsia="es-ES"/>
        </w:rPr>
        <w:t>: Los señalados con dicho carácter en la Constitución y en la Ley de Responsabilidades de los Servidores Públicos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Sistema Nacional de Transparencia</w:t>
      </w:r>
      <w:r w:rsidRPr="0040486F">
        <w:rPr>
          <w:rFonts w:asciiTheme="minorHAnsi" w:eastAsia="Times New Roman" w:hAnsiTheme="minorHAnsi" w:cs="Arial"/>
          <w:i/>
          <w:sz w:val="24"/>
          <w:szCs w:val="24"/>
          <w:lang w:eastAsia="es-ES"/>
        </w:rPr>
        <w:t>: El Sistema Nacional de Transparencia, Acceso a la Información Pública y Protección de Datos Personales;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Sujeto obligado</w:t>
      </w:r>
      <w:r w:rsidRPr="0040486F">
        <w:rPr>
          <w:rFonts w:asciiTheme="minorHAnsi" w:eastAsia="Times New Roman" w:hAnsiTheme="minorHAnsi" w:cs="Arial"/>
          <w:i/>
          <w:sz w:val="24"/>
          <w:szCs w:val="24"/>
          <w:lang w:eastAsia="es-ES"/>
        </w:rPr>
        <w:t>: C</w:t>
      </w:r>
      <w:r w:rsidRPr="0040486F">
        <w:rPr>
          <w:rFonts w:asciiTheme="minorHAnsi" w:eastAsia="Times New Roman" w:hAnsiTheme="minorHAnsi" w:cs="Arial"/>
          <w:bCs/>
          <w:i/>
          <w:sz w:val="24"/>
          <w:szCs w:val="24"/>
          <w:lang w:eastAsia="es-ES"/>
        </w:rPr>
        <w:t>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p>
    <w:p w:rsidR="00810F69" w:rsidRPr="00361D52"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361D52">
        <w:rPr>
          <w:rFonts w:asciiTheme="minorHAnsi" w:eastAsia="Times New Roman" w:hAnsiTheme="minorHAnsi" w:cs="Arial"/>
          <w:b/>
          <w:i/>
          <w:sz w:val="24"/>
          <w:szCs w:val="24"/>
          <w:lang w:eastAsia="es-ES"/>
        </w:rPr>
        <w:t>Unidad de Transparencia</w:t>
      </w:r>
      <w:r w:rsidRPr="00B84006">
        <w:rPr>
          <w:rFonts w:asciiTheme="minorHAnsi" w:eastAsia="Times New Roman" w:hAnsiTheme="minorHAnsi" w:cs="Arial"/>
          <w:i/>
          <w:sz w:val="24"/>
          <w:szCs w:val="24"/>
          <w:lang w:eastAsia="es-ES"/>
        </w:rPr>
        <w:t>: Instancia a la que se refiere el artículo 55 de la presente ley; .</w:t>
      </w:r>
      <w:r>
        <w:rPr>
          <w:rFonts w:asciiTheme="minorHAnsi" w:eastAsia="Times New Roman" w:hAnsiTheme="minorHAnsi" w:cs="Arial"/>
          <w:i/>
          <w:sz w:val="24"/>
          <w:szCs w:val="24"/>
          <w:lang w:eastAsia="es-ES"/>
        </w:rPr>
        <w:t xml:space="preserve">  </w:t>
      </w:r>
    </w:p>
    <w:p w:rsidR="00810F69" w:rsidRPr="00361D52"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361D52">
        <w:rPr>
          <w:rFonts w:asciiTheme="minorHAnsi" w:eastAsia="Times New Roman" w:hAnsiTheme="minorHAnsi" w:cs="Arial"/>
          <w:b/>
          <w:i/>
          <w:sz w:val="24"/>
          <w:szCs w:val="24"/>
          <w:lang w:eastAsia="es-ES"/>
        </w:rPr>
        <w:lastRenderedPageBreak/>
        <w:t>Unidades de Medida y Actualización:</w:t>
      </w:r>
      <w:r w:rsidRPr="00361D52">
        <w:rPr>
          <w:rFonts w:asciiTheme="minorHAnsi" w:eastAsia="Times New Roman" w:hAnsiTheme="minorHAnsi" w:cs="Arial"/>
          <w:i/>
          <w:sz w:val="24"/>
          <w:szCs w:val="24"/>
          <w:lang w:eastAsia="es-ES"/>
        </w:rPr>
        <w:t xml:space="preserve"> es la referencia económica para determinar la cuantía del pago de las obligaciones y supuestos previstos en las leyes federales y de las Entidades Federativas, así como en las disposiciones jurídicas que emanen de todas las anteriores, las cuales se solventarán entregando su equivalente en moneda nacional y que tienen fundamento en el Apartado B, del artículo 26, de la Constitución Política de los Estados Unidos Mexicanos; y</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Versión pública</w:t>
      </w:r>
      <w:r w:rsidRPr="0040486F">
        <w:rPr>
          <w:rFonts w:asciiTheme="minorHAnsi" w:eastAsia="Times New Roman" w:hAnsiTheme="minorHAnsi" w:cs="Arial"/>
          <w:i/>
          <w:sz w:val="24"/>
          <w:szCs w:val="24"/>
          <w:lang w:eastAsia="es-ES"/>
        </w:rPr>
        <w:t>: El documento o expediente en el que se da acceso a la información púbica, eliminando u omitiendo las partes o secciones clasificadas.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falta de disposición expresa en esta Ley se aplicarán supletoriamente la Ley General, los Lineamientos Generales que emitan el Sistema Nacional de Transparencia, la Ley de Archivos, la Ley del Procedimiento Administrativo y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PRINCIPIOS RECTORES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w:t>
      </w:r>
      <w:r w:rsidRPr="0040486F">
        <w:rPr>
          <w:rFonts w:asciiTheme="minorHAnsi" w:eastAsia="Times New Roman" w:hAnsiTheme="minorHAnsi" w:cs="Arial"/>
          <w:i/>
          <w:sz w:val="24"/>
          <w:szCs w:val="24"/>
          <w:lang w:eastAsia="es-ES"/>
        </w:rPr>
        <w:t xml:space="preserve"> El derecho de acceso a la información pública es la prerrogativa que tiene toda persona para obtener y conocer la información creada, recopilada, administrada, procesada o que por cualquier motivo se encuentre en posesión de los sujetos obligados, en los términos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 exclusión del tratamiento especial que debe concederse a la información confidencial o reservada, toda la información en posesión de los sujetos obligados se considera un bien de carácter e interés público y, por ende, cualquier persona tendrá acceso a ella en los términos y condiciones que establece el presente ordenamiento. La  reserva de la información operará temporalmente y de manera excepcional, por razones de interés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w:t>
      </w:r>
      <w:r w:rsidRPr="0040486F">
        <w:rPr>
          <w:rFonts w:asciiTheme="minorHAnsi" w:eastAsia="Times New Roman" w:hAnsiTheme="minorHAnsi" w:cs="Arial"/>
          <w:i/>
          <w:sz w:val="24"/>
          <w:szCs w:val="24"/>
          <w:lang w:eastAsia="es-ES"/>
        </w:rPr>
        <w:t xml:space="preserve"> De conformidad con el contenido de la Ley General, el derecho humano de acceso a la información comprende solicitar, investigar, difundir, buscar y recibir información. Este derecho y la clasificación de información se interpretarán conforme a los instrumentos mencionados en el artículo 2º de esta Ley, aplicando los siguientes principios rectores: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Gratuidad</w:t>
      </w:r>
      <w:r w:rsidRPr="0040486F">
        <w:rPr>
          <w:rFonts w:asciiTheme="minorHAnsi" w:eastAsia="Times New Roman" w:hAnsiTheme="minorHAnsi" w:cs="Arial"/>
          <w:i/>
          <w:sz w:val="24"/>
          <w:szCs w:val="24"/>
          <w:lang w:eastAsia="es-ES"/>
        </w:rPr>
        <w:t xml:space="preserve">: la búsqueda y acceso a la información pública es gratuita;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Interés General</w:t>
      </w:r>
      <w:r w:rsidRPr="0040486F">
        <w:rPr>
          <w:rFonts w:asciiTheme="minorHAnsi" w:eastAsia="Times New Roman" w:hAnsiTheme="minorHAnsi" w:cs="Arial"/>
          <w:i/>
          <w:sz w:val="24"/>
          <w:szCs w:val="24"/>
          <w:lang w:eastAsia="es-ES"/>
        </w:rPr>
        <w:t xml:space="preserve">: el derecho a la información pública es de interés general, por  lo que no es necesario acreditar ningún interés jurídico particular en el acceso a la información pública, con excepción de la clasificada como confidencial;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Libre Acceso</w:t>
      </w:r>
      <w:r w:rsidRPr="0040486F">
        <w:rPr>
          <w:rFonts w:asciiTheme="minorHAnsi" w:eastAsia="Times New Roman" w:hAnsiTheme="minorHAnsi" w:cs="Arial"/>
          <w:i/>
          <w:sz w:val="24"/>
          <w:szCs w:val="24"/>
          <w:lang w:eastAsia="es-ES"/>
        </w:rPr>
        <w:t xml:space="preserve">: en principio toda información pública es considerada de libre acceso, salvo la clasificada expresamente como reservada o confidencial;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Máxima Publicidad:</w:t>
      </w:r>
      <w:r w:rsidRPr="0040486F">
        <w:rPr>
          <w:rFonts w:asciiTheme="minorHAnsi" w:eastAsia="Times New Roman" w:hAnsiTheme="minorHAnsi" w:cs="Arial"/>
          <w:i/>
          <w:sz w:val="24"/>
          <w:szCs w:val="24"/>
          <w:lang w:eastAsia="es-ES"/>
        </w:rPr>
        <w:t xml:space="preserve"> en caso de duda sobre la justificación de las razones de interés público que motiven la reserva temporal de la información pública, prevalecerá la interpretación que garantice la máxima publicidad de dicha información;</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Mínima formalidad</w:t>
      </w:r>
      <w:r w:rsidRPr="0040486F">
        <w:rPr>
          <w:rFonts w:asciiTheme="minorHAnsi" w:eastAsia="Times New Roman" w:hAnsiTheme="minorHAnsi" w:cs="Arial"/>
          <w:i/>
          <w:sz w:val="24"/>
          <w:szCs w:val="24"/>
          <w:lang w:eastAsia="es-ES"/>
        </w:rPr>
        <w:t xml:space="preserve">: en caso de duda sobre las formalidades que deben revestir los actos jurídicos y acciones realizadas con motivo de la aplicación de esta ley, prevalecerá la interpretación que considere la menor formalidad de aquellos;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No discriminación</w:t>
      </w:r>
      <w:r w:rsidRPr="0040486F">
        <w:rPr>
          <w:rFonts w:asciiTheme="minorHAnsi" w:eastAsia="Times New Roman" w:hAnsiTheme="minorHAnsi" w:cs="Arial"/>
          <w:i/>
          <w:sz w:val="24"/>
          <w:szCs w:val="24"/>
          <w:lang w:eastAsia="es-ES"/>
        </w:rPr>
        <w:t>; no podrá limitarse o negarse el acceso de ninguna persona a la información pública, por motivo de su raza, género, origen, edad, preferencia sexual, creencia religiosa, condición social u otro motivo</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Sencillez y celeridad:</w:t>
      </w:r>
      <w:r w:rsidRPr="0040486F">
        <w:rPr>
          <w:rFonts w:asciiTheme="minorHAnsi" w:eastAsia="Times New Roman" w:hAnsiTheme="minorHAnsi" w:cs="Arial"/>
          <w:i/>
          <w:sz w:val="24"/>
          <w:szCs w:val="24"/>
          <w:lang w:eastAsia="es-ES"/>
        </w:rPr>
        <w:t xml:space="preserve"> en los procedimientos y trámites relativos al acceso a la información pública, así como la difusión de los mismos, se optará por lo más sencillo o expedito;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Suplencia de la deficiencia:</w:t>
      </w:r>
      <w:r w:rsidRPr="0040486F">
        <w:rPr>
          <w:rFonts w:asciiTheme="minorHAnsi" w:eastAsia="Times New Roman" w:hAnsiTheme="minorHAnsi" w:cs="Arial"/>
          <w:i/>
          <w:sz w:val="24"/>
          <w:szCs w:val="24"/>
          <w:lang w:eastAsia="es-ES"/>
        </w:rPr>
        <w:t xml:space="preserve"> no puede negarse información por falta de requisitos  formales de las solicitudes. Los sujetos obligados y el Organismo Garante deben suplir cualquier deficiencia en el pedimento, así como orientar y asesorar para subsanar cualquier omisión sustancial de las solicitudes de los particulares en materia de información pública; así como las que pudieran presentarse en la interposición de recursos; y</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Transparencia</w:t>
      </w:r>
      <w:r w:rsidRPr="0040486F">
        <w:rPr>
          <w:rFonts w:asciiTheme="minorHAnsi" w:eastAsia="Times New Roman" w:hAnsiTheme="minorHAnsi" w:cs="Arial"/>
          <w:i/>
          <w:sz w:val="24"/>
          <w:szCs w:val="24"/>
          <w:lang w:eastAsia="es-ES"/>
        </w:rPr>
        <w:t>: se debe buscar la máxima revelación de información, mediante la ampliación unilateral del catálogo de información fundamental de libre acceso.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w:t>
      </w:r>
      <w:r w:rsidRPr="0040486F">
        <w:rPr>
          <w:rFonts w:asciiTheme="minorHAnsi" w:eastAsia="Times New Roman" w:hAnsiTheme="minorHAnsi" w:cs="Arial"/>
          <w:i/>
          <w:sz w:val="24"/>
          <w:szCs w:val="24"/>
          <w:lang w:eastAsia="es-ES"/>
        </w:rPr>
        <w:t xml:space="preserve"> Respecto de la información pública a que se refiere esta Ley, se deberá observar el principio de máxima publicidad el cual implica que los sujetos obligados pongan a disposición de toda persona la información que tienen en su posesión, con las únicas excepciones que considere la legislación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este efecto, en caso de duda razonable sobre la clasificación de información como reservada, deberá optarse por su publicidad o bien, siempre que sea posible, por la elaboración de versiones públicas de los documentos clasificados.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w:t>
      </w:r>
      <w:r w:rsidRPr="0040486F">
        <w:rPr>
          <w:rFonts w:asciiTheme="minorHAnsi" w:eastAsia="Times New Roman" w:hAnsiTheme="minorHAnsi" w:cs="Arial"/>
          <w:i/>
          <w:sz w:val="24"/>
          <w:szCs w:val="24"/>
          <w:lang w:eastAsia="es-ES"/>
        </w:rPr>
        <w:t xml:space="preserve"> Para ejercer el derecho de acceso a la información pública no es necesario acreditar derechos subjetivos, interés legítimo o las razones que motiven el pedimento. Por ningún motivo los servidores públicos podrán requerir a los solicitantes de información que manifiesten las causas por las que presentan su solicitud o los fines a los cuales habrán de destinar los datos que requieren.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w:t>
      </w:r>
      <w:r w:rsidRPr="0040486F">
        <w:rPr>
          <w:rFonts w:asciiTheme="minorHAnsi" w:eastAsia="Times New Roman" w:hAnsiTheme="minorHAnsi" w:cs="Arial"/>
          <w:i/>
          <w:sz w:val="24"/>
          <w:szCs w:val="24"/>
          <w:lang w:eastAsia="es-ES"/>
        </w:rPr>
        <w:t xml:space="preserve"> Los servidores públicos que produzcan, recopilen, administren, manejen, procesen, archiven o conserven información pública, serán responsables de la misma en los términos de esta Ley. Se presume la existencia de la información si su emisión se encuentra vinculada a las facultades y atribuciones que confiera la normatividad aplicable al sujeto obligado, corresponderá a éste justificar la inexistencia en los términos que previene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w:t>
      </w:r>
      <w:r w:rsidRPr="0040486F">
        <w:rPr>
          <w:rFonts w:asciiTheme="minorHAnsi" w:eastAsia="Times New Roman" w:hAnsiTheme="minorHAnsi" w:cs="Arial"/>
          <w:i/>
          <w:sz w:val="24"/>
          <w:szCs w:val="24"/>
          <w:lang w:eastAsia="es-ES"/>
        </w:rPr>
        <w:t xml:space="preserve"> Quienes soliciten información pública tienen derecho, a su elección, a que les sea proporcionada de manera verbal, en consulta directa, por escrito o por algún medio electrónico, así como a obtener la reproducción de los documentos en que se contenga.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se entregará en el estado en que se encuentre ante los sujetos obligados. La obligación de proporcionarla no comprende el procesamiento de la misma, ni presentarla conforme al interés del solicitante. Los sujetos obligados deberán proporcionarla de manera gratuita, pero su reproducción tendrá un costo directamente relacionado con el material utilizado, según lo dispongan los ordenamientos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caso de que la información solicitada requiera el pago de derechos, como contribución, su entrega se encontrará condicionada al pago previo de los derechos que se generen.</w:t>
      </w:r>
    </w:p>
    <w:p w:rsidR="00810F69" w:rsidRPr="0040486F" w:rsidRDefault="00810F69" w:rsidP="00810F69">
      <w:pPr>
        <w:spacing w:after="120" w:line="240" w:lineRule="auto"/>
        <w:ind w:left="-142"/>
        <w:jc w:val="both"/>
        <w:rPr>
          <w:rFonts w:asciiTheme="minorHAnsi" w:eastAsia="Times New Roman" w:hAnsiTheme="minorHAnsi"/>
          <w:i/>
          <w:sz w:val="24"/>
          <w:szCs w:val="24"/>
          <w:lang w:eastAsia="es-ES"/>
        </w:rPr>
      </w:pPr>
      <w:r w:rsidRPr="0040486F">
        <w:rPr>
          <w:rFonts w:asciiTheme="minorHAnsi" w:eastAsia="Times New Roman" w:hAnsiTheme="minorHAnsi"/>
          <w:i/>
          <w:sz w:val="24"/>
          <w:szCs w:val="24"/>
          <w:lang w:eastAsia="es-ES"/>
        </w:rPr>
        <w:t>Los sujetos obligados buscarán, en todo momento, que la información generada tenga un lenguaje sencillo para cualquier persona y se procurará, en la medida de lo posible, su accesibilidad y traducción a lenguas indígenas.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w:t>
      </w:r>
      <w:r w:rsidRPr="0040486F">
        <w:rPr>
          <w:rFonts w:asciiTheme="minorHAnsi" w:eastAsia="Times New Roman" w:hAnsiTheme="minorHAnsi" w:cs="Arial"/>
          <w:i/>
          <w:sz w:val="24"/>
          <w:szCs w:val="24"/>
          <w:lang w:eastAsia="es-ES"/>
        </w:rPr>
        <w:t xml:space="preserve"> La información que contenga datos personales o sensibles es intransferible, por lo que los sujetos obligados no deberán proporcionarla o hacerla pública, con excepción de aquellos casos en los que así lo imponga la ley. Esta información, así como la garantía de tutela de privacidad de datos personales en poder de los sujetos obligados, se regulará en los términos de la respectiva legislación.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SEGUNDO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CULTURA DE LA TRANSPARENCIA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APERTURA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w:t>
      </w:r>
      <w:r w:rsidRPr="0040486F">
        <w:rPr>
          <w:rFonts w:asciiTheme="minorHAnsi" w:eastAsia="Times New Roman" w:hAnsiTheme="minorHAnsi" w:cs="Arial"/>
          <w:i/>
          <w:sz w:val="24"/>
          <w:szCs w:val="24"/>
          <w:lang w:eastAsia="es-ES"/>
        </w:rPr>
        <w:t xml:space="preserve"> Los sujetos obligados deberán impartir cursos, talleres, seminarios, así como otras formas de enseñanza que consideren pertinente para capacitar y actualizar a los servidores públicos a su servicio en la cultura de apertura de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coadyuvará en esta labor, poniendo a su disposición los servicios de capacitación a que se refiere este precepto e implementando las actividades necesarias para su realización.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13.- </w:t>
      </w:r>
      <w:r w:rsidRPr="0040486F">
        <w:rPr>
          <w:rFonts w:asciiTheme="minorHAnsi" w:eastAsia="Times New Roman" w:hAnsiTheme="minorHAnsi" w:cs="Arial"/>
          <w:i/>
          <w:sz w:val="24"/>
          <w:szCs w:val="24"/>
          <w:lang w:eastAsia="es-ES"/>
        </w:rPr>
        <w:t>El Organismo Garante pugnará para que en los planes y programas de estudio de todos los niveles educativos que se impartan en el Estado, se incluyan contenidos que versen sobre la importancia social del derecho de acceso a la información pública y el derecho a la protección de datos personales en una sociedad democrática. Las autoridades educativas y quienes participen en la elaboración de dichos planes de estudio, deberán considerar y procurarán la inclusión de dichos contenidos.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w:t>
      </w:r>
      <w:r w:rsidRPr="0040486F">
        <w:rPr>
          <w:rFonts w:asciiTheme="minorHAnsi" w:eastAsia="Times New Roman" w:hAnsiTheme="minorHAnsi" w:cs="Arial"/>
          <w:i/>
          <w:sz w:val="24"/>
          <w:szCs w:val="24"/>
          <w:lang w:eastAsia="es-ES"/>
        </w:rPr>
        <w:t xml:space="preserve"> Las universidades públicas y privadas que funcionen en el territorio del Estado deberán incluir en sus actividades curriculares y extracurriculares, temas que ponderen la importancia de los derechos que tutela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w:t>
      </w:r>
      <w:r w:rsidRPr="0040486F">
        <w:rPr>
          <w:rFonts w:asciiTheme="minorHAnsi" w:eastAsia="Times New Roman" w:hAnsiTheme="minorHAnsi" w:cs="Arial"/>
          <w:i/>
          <w:sz w:val="24"/>
          <w:szCs w:val="24"/>
          <w:lang w:eastAsia="es-ES"/>
        </w:rPr>
        <w:t xml:space="preserve"> El Organismo Garante, a través de los mecanismos de coordinación que al efecto se establezca podrá:</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entre las instituciones públicas y privadas de educación superior, la creación de centros de investigación, difusión y docencia sobre transparencia, derecho de acceso a la información y rendición de cuentas;</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Establecer, con las instituciones públicas de educación, acuerdos para la elaboración y publicación de materiales que fomenten la cultura del derecho de acceso a la información y rendición de cuentas;</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Desarrollar programas de formación de usuarios de este derecho para incrementar su ejercicio y aprovechamiento, privilegiando a integrantes de sectores vulnerables o marginados de la población;</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Impulsar estrategias que pongan al alcance de los diversos sectores de la sociedad los medios para el ejercicio del derecho de acceso a la información, acordes a su contexto sociocultural; y </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Desarrollar con el concurso de centros comunitarios digitales y bibliotecas públicas, universitarias, gubernamentales y especializadas, programas para la asesoría y orientación de sus usuarios en el ejercicio y aprovechamiento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w:t>
      </w:r>
      <w:r w:rsidRPr="0040486F">
        <w:rPr>
          <w:rFonts w:asciiTheme="minorHAnsi" w:eastAsia="Times New Roman" w:hAnsiTheme="minorHAnsi" w:cs="Arial"/>
          <w:i/>
          <w:sz w:val="24"/>
          <w:szCs w:val="24"/>
          <w:lang w:eastAsia="es-ES"/>
        </w:rPr>
        <w:t xml:space="preserve"> En  materia  de  cultura  de  la  transparencia  y  acceso  a  la  información, los sujetos obligados podrán desarrollar o adoptar, incluso mediante convenio, u otra forma jurídica equivalente, con otros Sujetos Obligados, prácticas que tengan por objeto:</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Elevar el nivel de cumplimiento de las disposiciones previstas en la presente Ley;</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Armonizar el acceso a la información por sectores;</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Facilitar el ejercicio del derecho de acceso a la información a las personas;</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Procurar la accesibilidad de la información; y</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las prácticas de gobierno abierto.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w:t>
      </w:r>
      <w:r w:rsidRPr="0040486F">
        <w:rPr>
          <w:rFonts w:asciiTheme="minorHAnsi" w:eastAsia="Times New Roman" w:hAnsiTheme="minorHAnsi" w:cs="Arial"/>
          <w:i/>
          <w:sz w:val="24"/>
          <w:szCs w:val="24"/>
          <w:lang w:eastAsia="es-ES"/>
        </w:rPr>
        <w:t xml:space="preserve"> El Organismo Garante deberá contar con una unidad administrativa específica para la investigación y difusión sobre el derecho de acceso a la información pública, que promueva la socialización del conocimiento sobre el tema.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w:t>
      </w:r>
      <w:r w:rsidRPr="0040486F">
        <w:rPr>
          <w:rFonts w:asciiTheme="minorHAnsi" w:eastAsia="Times New Roman" w:hAnsiTheme="minorHAnsi" w:cs="Arial"/>
          <w:i/>
          <w:sz w:val="24"/>
          <w:szCs w:val="24"/>
          <w:lang w:eastAsia="es-ES"/>
        </w:rPr>
        <w:t xml:space="preserve"> Los sujetos obligados deberán proveer la instalación de cuando menos un equipo de cómputo que facilite el acceso a la información pública de oficio a que se refiere la presente Ley. Similar disposición deberá implementarse en las bibliotecas y archivos públicos dependientes del gobierno estatal o de los gobiernos municipales.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TRANSPARENCIA PROACTIVA, FOCALIZADA Y DEL GOBIERNO ABIERTO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19.-</w:t>
      </w:r>
      <w:r w:rsidRPr="0040486F">
        <w:rPr>
          <w:rFonts w:asciiTheme="minorHAnsi" w:eastAsia="Times New Roman" w:hAnsiTheme="minorHAnsi" w:cs="Arial"/>
          <w:i/>
          <w:sz w:val="24"/>
          <w:szCs w:val="24"/>
          <w:lang w:eastAsia="es-ES"/>
        </w:rPr>
        <w:t xml:space="preserve"> El Organismo Garante emitirá políticas de transparencia proactiva, sujetándose a los lineamientos generales definidos por el Sistema Nacional de Transparencia para incentivar a los sujetos </w:t>
      </w:r>
      <w:r w:rsidRPr="0040486F">
        <w:rPr>
          <w:rFonts w:asciiTheme="minorHAnsi" w:eastAsia="Times New Roman" w:hAnsiTheme="minorHAnsi" w:cs="Arial"/>
          <w:i/>
          <w:sz w:val="24"/>
          <w:szCs w:val="24"/>
          <w:lang w:eastAsia="es-ES"/>
        </w:rPr>
        <w:lastRenderedPageBreak/>
        <w:t>obligados a publicar información adicional a la que establece como mínimo la presente Ley. Dichas políticas tendrán por objeto promover la reutilización de la información que generan los sujetos obligados considerando la demanda de la sociedad.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20.-</w:t>
      </w:r>
      <w:r w:rsidRPr="0040486F">
        <w:rPr>
          <w:rFonts w:asciiTheme="minorHAnsi" w:eastAsia="Times New Roman" w:hAnsiTheme="minorHAnsi" w:cs="Arial"/>
          <w:i/>
          <w:sz w:val="24"/>
          <w:szCs w:val="24"/>
          <w:lang w:eastAsia="es-ES"/>
        </w:rPr>
        <w:t xml:space="preserve"> La información publicada por los sujetos obligados, en el marco de la política de transparencia proactiva, se difundirá en los medios y formatos que más convengan al público al que va dirigida.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21.-</w:t>
      </w:r>
      <w:r w:rsidRPr="0040486F">
        <w:rPr>
          <w:rFonts w:asciiTheme="minorHAnsi" w:eastAsia="Times New Roman" w:hAnsiTheme="minorHAnsi" w:cs="Arial"/>
          <w:i/>
          <w:sz w:val="24"/>
          <w:szCs w:val="24"/>
          <w:lang w:eastAsia="es-ES"/>
        </w:rPr>
        <w:t xml:space="preserve"> La información que se publique, como resultado de las políticas de transparencia proactiva, deberá permitir la generación de conocimiento público útil, para disminuir asimetrías de la información, mejorar los accesos a trámites y servicios, optimizar la toma de decisiones de autoridades o ciudadanos y tener un objeto claro enfocado en las necesidades de sectores de la sociedad determinados o determinables.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pública focalizada se establece sobre prácticas especificas con el fin de hacer posible la evaluación oportuna, comparativa, sobre servicios, proyectos o políticas que establezcan o ejecuten los sujetos obligados, sobre un tema específico o relevante, que permita unificar criterios y generar información general y significativa de forma sistematizada y ordenada.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22.- </w:t>
      </w:r>
      <w:r w:rsidRPr="0040486F">
        <w:rPr>
          <w:rFonts w:asciiTheme="minorHAnsi" w:eastAsia="Times New Roman" w:hAnsiTheme="minorHAnsi" w:cs="Arial"/>
          <w:i/>
          <w:sz w:val="24"/>
          <w:szCs w:val="24"/>
          <w:lang w:eastAsia="es-ES"/>
        </w:rPr>
        <w:t>El Organismo Garante coadyuvará con los sujetos obligados y representantes de la sociedad civil, en la implementación de mecanismos de colaboración para la promoción e instauración de políticas e instrumentos de apertura gubernamental.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Fundamentalmente los temas de gobierno abierto deberán comprender el establecimiento de mecanismos para el acceso a servicios y trámites públicos mediante herramientas digitales, el funcionamiento de canales de comunicación con la población a través de redes sociales y plataformas digitales que fomenten la participación ciudadana, la difusión amplia y oportuna de la actividad gubernamental y, en general, aquéllas que tiendan a incrementar la aportación de la población en las políticas y acciones de gobierno.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colaboración que al efecto se proporcione, será aquella que resulte permisible en razón del marco de competencia del organismo y le sea posible atendiendo a la disponibilidad de recursos.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TERCERO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OBLIGACIONES DE TRANSPARENCIA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SECCIÓN PRIMERA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DE PUBLICACIÓN OBLIGATORIA E</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INFRAESTRUCTURA BÁSICA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DISPOSICIONES COMUNES A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23.-</w:t>
      </w:r>
      <w:r w:rsidRPr="0040486F">
        <w:rPr>
          <w:rFonts w:asciiTheme="minorHAnsi" w:eastAsia="Times New Roman" w:hAnsiTheme="minorHAnsi" w:cs="Arial"/>
          <w:i/>
          <w:sz w:val="24"/>
          <w:szCs w:val="24"/>
          <w:lang w:eastAsia="es-ES"/>
        </w:rPr>
        <w:tab/>
        <w:t xml:space="preserve"> Los sujetos obligados deberán realizar actualizaciones periódicas de la información a que se refiere el presente capítulo para tal efecto, deberán publicar en Internet el calendario correspondiente el que deberá referirse a cada rubro de información, respecto de la que le resulte aplicable atendiendo a la determinación del Organismo Garante, y citar el nombre del responsable de generarla o de llevar a efecto la actualización de la página.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no establecerse disposición expresa para algún rubro determinado, la actualización de los apartados de transparencia deberá realizarse al menos cada tres meses. En todo caso deberá indicarse la fecha de la última actualización con el propósito de que quien consulte información pueda valorar si resulta oportuna y vigente.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24.- </w:t>
      </w:r>
      <w:r w:rsidRPr="0040486F">
        <w:rPr>
          <w:rFonts w:asciiTheme="minorHAnsi" w:eastAsia="Times New Roman" w:hAnsiTheme="minorHAnsi" w:cs="Arial"/>
          <w:i/>
          <w:sz w:val="24"/>
          <w:szCs w:val="24"/>
          <w:lang w:eastAsia="es-ES"/>
        </w:rPr>
        <w:t>Cada sujeto obligado deberá sistematizar la información para facilitar que sea accesible y comprensible, para lo cual deberá sujetarse a los lineamientos técnicos que emita el Sistema Nacional de Transparencia así como a las disposiciones específicas de esta Ley, y a las determinaciones del Organismo Garante. En todo caso se dispondrá que la publicación se realice con perspectiva de género y procurando implementar medidas que permitan el acceso a la información a las personas con discapacidad.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páginas de internet de los sujetos obligados deberán mostrar en el inicio de sus portales, un aviso claramente visible que indique cómo tener acceso a la información que previene este capítulo, debiendo incluirse además buscadores temáticos que faciliten dicha labor. Así también, en la propia página de inicio colocarán un ícono de acceso, fácilmente identificable para vincularse directamente a la Plataforma Nacional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25.-</w:t>
      </w:r>
      <w:r w:rsidRPr="0040486F">
        <w:rPr>
          <w:rFonts w:asciiTheme="minorHAnsi" w:eastAsia="Times New Roman" w:hAnsiTheme="minorHAnsi" w:cs="Arial"/>
          <w:i/>
          <w:sz w:val="24"/>
          <w:szCs w:val="24"/>
          <w:lang w:eastAsia="es-ES"/>
        </w:rPr>
        <w:t xml:space="preserve"> Los sujetos obligados rendirán al Organismo Garante un informe anual que deberá ser entregado durante el mes de enero de cada año, en el que deberán consignarse los siguientes datos:</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solicitudes de información presentadas a la entidad que informa, especificando las que se resolvieron positiva y negativamente, así como las que no pudieron ser tramitadas por cualquier causa y las que existieran pendientes de resolver;</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solicitudes en que se hizo necesario prorrogar el término ordinario de respuesta;</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causas por las que se determinó negar la información que les fuera solicitada y las ocasiones en que esto ocurrió;</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sobre la naturaleza de la información que les fue solicitada;</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más relevantes que hubieran realizado para la atención de solicitudes de información, capacitación y difusión de los derechos que tutela la presente Ley; y</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datos estadísticos sobre las consultas de sus páginas de internet, los períodos o fechas de actualización de las mismas y los demás que sirvan al Organismo Garante para realizar sus funciones de verificación del cumplimiento de las obligaciones que en materia de transparencia y de acceso a la información pública tienen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26.- </w:t>
      </w:r>
      <w:r w:rsidRPr="0040486F">
        <w:rPr>
          <w:rFonts w:asciiTheme="minorHAnsi" w:eastAsia="Times New Roman" w:hAnsiTheme="minorHAnsi" w:cs="Arial"/>
          <w:i/>
          <w:sz w:val="24"/>
          <w:szCs w:val="24"/>
          <w:lang w:eastAsia="es-ES"/>
        </w:rPr>
        <w:t>Para efectos de esta Ley son sujetos obligados:</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Poder Ejecutivo del Estado, que deberá proporcionar información de la administración pública centralizada;</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Poder Legislativo del Estado;</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Poder Judicial del Estado;</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Ayuntamientos de la entidad, que tendrán a cargo proporcionar información sobre la administración pública municipal;</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tribunales y organismos que tengan a su cargo la impartición de justicia en materias administrativa y laboral, siempre que sean de jurisdicción local;</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integrantes de la administración pública descentralizada de los niveles estatal y municipal, que comprende a los organismos descentralizados, a los órganos desconcentrados, las empresas de participación estatal y municipal, así como los fideicomisos y fondos públicos estatales o municipales;</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organismos públicos autónomos del Estado, incluyendo a las universidades e instituciones públicas de educación superior;</w:t>
      </w:r>
    </w:p>
    <w:p w:rsidR="00810F69"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partidos políticos y las agrupaciones políticas que cuenten con registro ante las autoridades electorales locales, así como las personas morales constituidas en asociación civil creadas por los ciudadanos que pretendan postular su candidatura independiente, en los términos que se consignan en la presente Ley; y</w:t>
      </w:r>
    </w:p>
    <w:p w:rsidR="00810F69" w:rsidRPr="009329FA" w:rsidRDefault="00810F69" w:rsidP="00810F69">
      <w:pPr>
        <w:spacing w:after="0" w:line="240" w:lineRule="auto"/>
        <w:ind w:left="567"/>
        <w:jc w:val="both"/>
        <w:rPr>
          <w:rFonts w:asciiTheme="minorHAnsi" w:eastAsia="Times New Roman" w:hAnsiTheme="minorHAnsi" w:cs="Arial"/>
          <w:sz w:val="24"/>
          <w:szCs w:val="24"/>
          <w:lang w:eastAsia="es-ES"/>
        </w:rPr>
      </w:pPr>
      <w:r w:rsidRPr="009329FA">
        <w:rPr>
          <w:rFonts w:asciiTheme="minorHAnsi" w:eastAsia="Times New Roman" w:hAnsiTheme="minorHAnsi" w:cs="Arial"/>
          <w:sz w:val="24"/>
          <w:szCs w:val="24"/>
          <w:lang w:eastAsia="es-ES"/>
        </w:rPr>
        <w:t>(REFORMADA, DECRETO 301, P.O. 38, 03 JUNIO 2017)</w:t>
      </w:r>
    </w:p>
    <w:p w:rsidR="00810F69" w:rsidRPr="0040486F" w:rsidRDefault="00810F69" w:rsidP="00810F69">
      <w:pPr>
        <w:numPr>
          <w:ilvl w:val="0"/>
          <w:numId w:val="20"/>
        </w:numPr>
        <w:spacing w:after="0" w:line="240" w:lineRule="auto"/>
        <w:ind w:left="567" w:hanging="567"/>
        <w:jc w:val="both"/>
        <w:rPr>
          <w:rFonts w:asciiTheme="minorHAnsi" w:eastAsia="Times New Roman" w:hAnsiTheme="minorHAnsi" w:cs="Arial"/>
          <w:i/>
          <w:sz w:val="24"/>
          <w:szCs w:val="24"/>
          <w:lang w:eastAsia="es-ES"/>
        </w:rPr>
      </w:pPr>
      <w:r w:rsidRPr="008A54A4">
        <w:rPr>
          <w:rFonts w:asciiTheme="minorHAnsi" w:eastAsia="Times New Roman" w:hAnsiTheme="minorHAnsi" w:cs="Arial"/>
          <w:i/>
          <w:sz w:val="24"/>
          <w:szCs w:val="24"/>
          <w:lang w:eastAsia="es-ES"/>
        </w:rPr>
        <w:t>Los sindicatos y las personas de derecho público o privado, en los términos del presente ordenamiento, siempre que se encuentren en cualquiera de las siguientes hipótesis:</w:t>
      </w:r>
    </w:p>
    <w:p w:rsidR="00810F69" w:rsidRPr="0040486F" w:rsidRDefault="00810F69" w:rsidP="00810F69">
      <w:pPr>
        <w:numPr>
          <w:ilvl w:val="0"/>
          <w:numId w:val="21"/>
        </w:numPr>
        <w:spacing w:after="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en el ejercicio de sus actividades realicen actos de autoridad; o</w:t>
      </w:r>
    </w:p>
    <w:p w:rsidR="00810F69" w:rsidRPr="0040486F" w:rsidRDefault="00810F69" w:rsidP="00810F69">
      <w:pPr>
        <w:numPr>
          <w:ilvl w:val="0"/>
          <w:numId w:val="2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reciban y ejerzan recursos públicos.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27.-</w:t>
      </w:r>
      <w:r w:rsidRPr="0040486F">
        <w:rPr>
          <w:rFonts w:asciiTheme="minorHAnsi" w:eastAsia="Times New Roman" w:hAnsiTheme="minorHAnsi" w:cs="Arial"/>
          <w:i/>
          <w:sz w:val="24"/>
          <w:szCs w:val="24"/>
          <w:lang w:eastAsia="es-ES"/>
        </w:rPr>
        <w:t xml:space="preserve"> Los municipios de la entidad cuya población sea inferior a setenta mil habitantes, siempre que sus posibilidades presupuestales no les permitan cumplir con sus obligaciones de transparencia, podrán solicitar al Organismo Garante la divulgación en Internet de la información pública de oficio que les señala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OBLIGACIONES COMUNES DE LOS SUJETOS OBLIGADOS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EF0644" w:rsidRDefault="00810F69" w:rsidP="00810F69">
      <w:pPr>
        <w:spacing w:after="120" w:line="240" w:lineRule="auto"/>
        <w:ind w:left="-142"/>
        <w:jc w:val="both"/>
        <w:rPr>
          <w:rFonts w:asciiTheme="minorHAnsi" w:eastAsia="Times New Roman" w:hAnsiTheme="minorHAnsi" w:cs="Arial"/>
          <w:b/>
          <w:color w:val="FF0000"/>
          <w:sz w:val="24"/>
          <w:szCs w:val="24"/>
          <w:lang w:eastAsia="es-ES"/>
        </w:rPr>
      </w:pPr>
      <w:r w:rsidRPr="0040486F">
        <w:rPr>
          <w:rFonts w:asciiTheme="minorHAnsi" w:eastAsia="Times New Roman" w:hAnsiTheme="minorHAnsi" w:cs="Arial"/>
          <w:b/>
          <w:i/>
          <w:sz w:val="24"/>
          <w:szCs w:val="24"/>
          <w:lang w:eastAsia="es-ES"/>
        </w:rPr>
        <w:t xml:space="preserve">Artículo 28.- </w:t>
      </w:r>
      <w:r w:rsidRPr="00B84006">
        <w:rPr>
          <w:rFonts w:asciiTheme="minorHAnsi" w:eastAsia="Times New Roman" w:hAnsiTheme="minorHAnsi" w:cs="Arial"/>
          <w:i/>
          <w:sz w:val="24"/>
          <w:szCs w:val="24"/>
          <w:lang w:eastAsia="es-ES"/>
        </w:rPr>
        <w:t xml:space="preserve">De conformidad con lo dispuesto en la Ley General </w:t>
      </w:r>
      <w:r w:rsidRPr="0040486F">
        <w:rPr>
          <w:rFonts w:asciiTheme="minorHAnsi" w:eastAsia="Times New Roman" w:hAnsiTheme="minorHAnsi" w:cs="Arial"/>
          <w:i/>
          <w:sz w:val="24"/>
          <w:szCs w:val="24"/>
          <w:lang w:eastAsia="es-ES"/>
        </w:rPr>
        <w:t>los sujetos obligados en materia de transparencia y acceso a la información deberán:</w:t>
      </w:r>
      <w:r>
        <w:rPr>
          <w:rFonts w:asciiTheme="minorHAnsi" w:eastAsia="Times New Roman" w:hAnsiTheme="minorHAnsi" w:cs="Arial"/>
          <w:i/>
          <w:sz w:val="24"/>
          <w:szCs w:val="24"/>
          <w:lang w:eastAsia="es-ES"/>
        </w:rPr>
        <w:t xml:space="preserve"> </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Constituir el Comité de Transparencia, las Unidades de Transparencia y vigilar su correcto funcionamiento de acuerdo a su normatividad interna;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Designar en las Unidades de Transparencia, a los titulares que dependan directamente del titular del sujeto obligado y que preferentemente cuenten con experiencia en la materia;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Proporcionar capacitación continua y especializada al personal que forme parte de los Comités y Unidades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Constituir y mantener actualizados sus sistemas de archivo y gestión documental, conforme a la normatividad aplicable;</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Generar y publicar la información en formatos abiertos y accesibles, debiendo documentar todo acto que derive del ejercicio de sus facultades, competencias o funciones;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Proteger y resguardar la información clasificada como reservada o confidencial;</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Reportar a los organismos garantes competentes sobre las acciones de implementación de la normatividad en la materia, en los términos que éstos determinen;</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Atender los requerimientos, observaciones, recomendaciones y criterios que, en materia de transparencia y acceso a la información, realicen los organismos garantes y el Sistema Nacional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el uso de tecnologías de la información para garantizar la transparencia, el derecho de acceso a la información y la accesibilidad a éstos;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Cumplir con las resoluciones emitidas por los organismos garantes;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Publicar y mantener actualizada la información relativa a las obligaciones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Difundir proactivamente información de interés público;</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Dar atención a las recomendaciones de los organismos garantes; y</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resulten de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29.-</w:t>
      </w:r>
      <w:r w:rsidRPr="0040486F">
        <w:rPr>
          <w:rFonts w:asciiTheme="minorHAnsi" w:eastAsia="Times New Roman" w:hAnsiTheme="minorHAnsi" w:cs="Arial"/>
          <w:i/>
          <w:sz w:val="24"/>
          <w:szCs w:val="24"/>
          <w:lang w:eastAsia="es-ES"/>
        </w:rPr>
        <w:t xml:space="preserve"> </w:t>
      </w:r>
      <w:r w:rsidRPr="00B84006">
        <w:rPr>
          <w:rFonts w:asciiTheme="minorHAnsi" w:eastAsia="Times New Roman" w:hAnsiTheme="minorHAnsi" w:cs="Arial"/>
          <w:i/>
          <w:sz w:val="24"/>
          <w:szCs w:val="24"/>
          <w:lang w:eastAsia="es-ES"/>
        </w:rPr>
        <w:t>Conforme lo dispone la Ley General, los sujetos obligados a que se refiere la presente Ley deberán poner a disposición del público, difundir y actualizar</w:t>
      </w:r>
      <w:r w:rsidRPr="0040486F">
        <w:rPr>
          <w:rFonts w:asciiTheme="minorHAnsi" w:eastAsia="Times New Roman" w:hAnsiTheme="minorHAnsi" w:cs="Arial"/>
          <w:i/>
          <w:sz w:val="24"/>
          <w:szCs w:val="24"/>
          <w:lang w:eastAsia="es-ES"/>
        </w:rPr>
        <w:t>, en forma permanente y por Internet, la siguiente información: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marco normativo aplicable al sujeto obligado, que deberá incluir leyes, códigos, reglamentos, decretos de creación, manuales administrativos, reglas de operación, criterios y políticas, entre otros;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 estructura orgánica completa, en un formato que permita vincular cada parte de la estructura, los órganos de consulta y apoyo, las atribuciones y responsabilidades que le corresponden a cada servidor público, prestador de servicios profesionales o miembro de los sujetos obligados, de conformidad con las disposiciones aplicables;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facultades de cada área;</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metas y objetivos de las áreas de conformidad con sus programas operativos;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indicadores relacionados con temas de interés público o trascendencia social que conforme a sus funciones deban establecer;</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indicadores que permitan rendir cuenta de sus objetivos y resultados;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todos los servidores públicos, incluyendo los que formen parte de los órganos de consulta y apoyo,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oficial, domicilio para recibir correspondencia y dirección de correo electrónico oficiales;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810F69" w:rsidRPr="00B84006" w:rsidRDefault="00810F69" w:rsidP="00810F69">
      <w:pPr>
        <w:numPr>
          <w:ilvl w:val="0"/>
          <w:numId w:val="23"/>
        </w:numPr>
        <w:spacing w:after="120" w:line="240" w:lineRule="auto"/>
        <w:ind w:left="567" w:hanging="567"/>
        <w:jc w:val="both"/>
        <w:rPr>
          <w:rFonts w:asciiTheme="minorHAnsi" w:eastAsia="Times New Roman" w:hAnsiTheme="minorHAnsi" w:cs="Arial"/>
          <w:b/>
          <w:i/>
          <w:sz w:val="24"/>
          <w:szCs w:val="24"/>
          <w:lang w:eastAsia="es-ES"/>
        </w:rPr>
      </w:pPr>
      <w:r w:rsidRPr="00B84006">
        <w:rPr>
          <w:rFonts w:asciiTheme="minorHAnsi" w:eastAsia="Times New Roman" w:hAnsiTheme="minorHAnsi" w:cs="Arial"/>
          <w:i/>
          <w:sz w:val="24"/>
          <w:szCs w:val="24"/>
          <w:lang w:eastAsia="es-ES"/>
        </w:rPr>
        <w:t xml:space="preserve">El perfil de los puestos de los servidores públicos a su servicio, el curricular de quienes ocupan esos puestos, y la información de las declaraciones patrimoniales de los servidores públicos al momento de asumir el cargo y al concluirlo, siempre que se cuente con el consentimiento del interesado, por tratarse de datos personales;     </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gastos de representación y viáticos, así como el objeto e informe de comisión correspondiente;</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total de las plazas y del personal de base y confianza, especificando el total de las vacantes, por nivel de puesto, para cada unidad administrativa;</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contrataciones de servicios profesionales por honorarios, señalando los nombres de los prestadores de servicios, los servicios contratados, el monto de los honorarios y el periodo de contratación;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domicilio de la Unidad de Transparencia, el nombre de su titular y la dirección electrónica donde podrán recibirse las solicitudes para obtener información;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a concursos para ocupar cargos públicos y los resultados de los mismos;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 los programas de subsidios, estímulos y apoyos, en el que se deberá informar respecto de los programas de transferencia, de servicios, de infraestructura social y de subsidio, en los que se deberá contener lo siguiente:</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Área;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Denominación del programa;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Período de vigencia;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Diseño, objetivos y alcances;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Metas físicas;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Población beneficiada estimada;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Monto aprobado, modificado y ejercido, así como los calendarios de su programación presupuestal;</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Requisitos y procedimientos de acceso;</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Procedimiento de queja o inconformidad ciudadana;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Mecanismos de exigibilidad;</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Mecanismos de evaluación, informes de evaluación y seguimiento de recomendaciones;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Indicadores con nombre, definición, método de cálculo, unidad de medida, dimensión, frecuencia de medición, nombre de las bases de datos utilizadas para su cálculo;</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Formas de participación social;</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Articulación con otros programas sociales;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Vínculo a las reglas de operación o documento equivalente;</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Informes periódicos sobre la ejecución y los resultados de las evaluaciones realizadas; y</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Padrón de beneficiarios, mismo que deberá contener los siguientes datos: nombre de la persona física o denominación social de las personas morales beneficiarias, el monto, recurso, beneficio o apoyo otorgado para cada una de ellas, unidad territorial en su caso, edad y sexo;</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810F69" w:rsidRPr="00B84006"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 información curricular, desde el nivel de jefe de departamento o equivalente, hasta el titular del sujeto obligado, así como, en su caso, las sanciones administrativas de que haya sido objeto; </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servidores públicos con sanciones administrativas definitivas, especificando la causa de sanción y la disposición;</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servicios que ofrecen señalando los requisitos para acceder a ellos;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trámites, requisitos y formatos que ofrecen;</w:t>
      </w:r>
    </w:p>
    <w:p w:rsidR="00810F69" w:rsidRPr="00B84006"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financiera sobre el presupuesto asignado, así como los informes del ejercicio trimestral del gasto, en términos de la </w:t>
      </w:r>
      <w:r w:rsidRPr="00B84006">
        <w:rPr>
          <w:rFonts w:asciiTheme="minorHAnsi" w:eastAsia="Times New Roman" w:hAnsiTheme="minorHAnsi" w:cs="Arial"/>
          <w:i/>
          <w:sz w:val="24"/>
          <w:szCs w:val="24"/>
          <w:lang w:eastAsia="es-ES"/>
        </w:rPr>
        <w:t>Ley General de Contabilidad Gubernamental y demás normatividad aplicable;</w:t>
      </w:r>
      <w:r w:rsidRPr="00B84006">
        <w:rPr>
          <w:rFonts w:asciiTheme="minorHAnsi" w:eastAsia="Times New Roman" w:hAnsiTheme="minorHAnsi" w:cs="Arial"/>
          <w:i/>
          <w:color w:val="FF0000"/>
          <w:sz w:val="24"/>
          <w:szCs w:val="24"/>
          <w:lang w:eastAsia="es-ES"/>
        </w:rPr>
        <w:t xml:space="preserve"> </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relativa a la deuda pública, en términos de la normatividad aplicable;</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destinados a gastos relativos a comunicación social y publicidad oficial desglosada por tipo de medio, proveedores, número de contrato, concepto o campaña y fecha de inicio y de término;</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resultados de las auditorías al ejercicio presupuestal de cada sujeto obligado que se realicen y, en su caso, las aclaraciones que correspondan;</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El resultado de la </w:t>
      </w:r>
      <w:r w:rsidRPr="00DE39C1">
        <w:rPr>
          <w:rFonts w:asciiTheme="minorHAnsi" w:eastAsia="Times New Roman" w:hAnsiTheme="minorHAnsi" w:cs="Arial"/>
          <w:i/>
          <w:sz w:val="24"/>
          <w:szCs w:val="24"/>
          <w:lang w:eastAsia="es-ES"/>
        </w:rPr>
        <w:t>dictaminación de los</w:t>
      </w:r>
      <w:r w:rsidRPr="0040486F">
        <w:rPr>
          <w:rFonts w:asciiTheme="minorHAnsi" w:eastAsia="Times New Roman" w:hAnsiTheme="minorHAnsi" w:cs="Arial"/>
          <w:i/>
          <w:sz w:val="24"/>
          <w:szCs w:val="24"/>
          <w:lang w:eastAsia="es-ES"/>
        </w:rPr>
        <w:t xml:space="preserve"> estados financieros;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sobre los resultados de los procedimientos de adjudicación directa, invitación restringida y licitación de cualquier naturaleza, incluyendo la versión pública del expediente respectivo y de los contratos celebrados, que deberá contener, por lo menos, lo siguiente:</w:t>
      </w:r>
    </w:p>
    <w:p w:rsidR="00810F69" w:rsidRPr="0040486F" w:rsidRDefault="00810F69" w:rsidP="00810F69">
      <w:pPr>
        <w:spacing w:after="120" w:line="240" w:lineRule="auto"/>
        <w:ind w:left="-142" w:firstLine="850"/>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licitaciones públicas o procedimientos de invitación restringida: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convocatoria o invitación emitida, así como los fundamentos legales aplicados para llevarla a cabo;</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nombres de los participantes o invitados;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ganador y las razones que lo justifican;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área solicitante y la responsable de su ejecución;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e invitaciones emitidas;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dictámenes y fallo de adjudicación;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contrato y, en su caso, sus anexos;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vigilancia y supervisión, incluyendo, en su caso, los estudios de impacto urbano y ambiental, según corresponda;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partida presupuestal, de conformidad con el clasificador por   objeto del gasto, en el caso de ser aplicable;</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Origen de los recursos especificando si son federales, estatales o municipales, así como el tipo de fondo de participación o aportación respectiva;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modificatorios que, en su caso, sean firmados, precisando el objeto y la fecha de celebración;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avance físico y financiero sobre las obras o servicios contratados;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convenio de terminación; y</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finiquito;</w:t>
      </w:r>
    </w:p>
    <w:p w:rsidR="00810F69" w:rsidRPr="0040486F" w:rsidRDefault="00810F69" w:rsidP="00810F69">
      <w:pPr>
        <w:spacing w:after="120" w:line="240" w:lineRule="auto"/>
        <w:ind w:left="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las adjudicaciones directas: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propuesta enviada por el participante;</w:t>
      </w:r>
    </w:p>
    <w:p w:rsidR="00810F69" w:rsidRPr="00DE39C1"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DE39C1">
        <w:rPr>
          <w:rFonts w:asciiTheme="minorHAnsi" w:eastAsia="Times New Roman" w:hAnsiTheme="minorHAnsi" w:cs="Arial"/>
          <w:i/>
          <w:sz w:val="24"/>
          <w:szCs w:val="24"/>
          <w:lang w:eastAsia="es-ES"/>
        </w:rPr>
        <w:lastRenderedPageBreak/>
        <w:t>Los motivos y fundamentos legales aplicados para llevarla a cabo;</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autorización del ejercicio de la opción;</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cotizaciones consideradas, especificando los nombres de los proveedores y los montos;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 la persona física o moral adjudicada;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unidad administrativa solicitante y la responsable de su ejecución;</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fecha, el monto del contrato y el plazo de entrega o de ejecución de los servicios u obra;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vigilancia y supervisión, incluyendo, en su caso, los estudios de impacto urbano y ambiental, según corresponda;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avance sobre las obras o servicios contratados;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convenio de terminación; y</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finiquito;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que por disposición legal generen los sujetos obligados;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estadísticas que generen en cumplimiento de sus facultades, competencias o funciones con la mayor </w:t>
      </w:r>
      <w:r w:rsidRPr="00B84006">
        <w:rPr>
          <w:rFonts w:asciiTheme="minorHAnsi" w:eastAsia="Times New Roman" w:hAnsiTheme="minorHAnsi" w:cs="Arial"/>
          <w:i/>
          <w:sz w:val="24"/>
          <w:szCs w:val="24"/>
          <w:lang w:eastAsia="es-ES"/>
        </w:rPr>
        <w:t>desagregación</w:t>
      </w:r>
      <w:r w:rsidRPr="0040486F">
        <w:rPr>
          <w:rFonts w:asciiTheme="minorHAnsi" w:eastAsia="Times New Roman" w:hAnsiTheme="minorHAnsi" w:cs="Arial"/>
          <w:i/>
          <w:sz w:val="24"/>
          <w:szCs w:val="24"/>
          <w:lang w:eastAsia="es-ES"/>
        </w:rPr>
        <w:t xml:space="preserve"> posible;</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Informe de avances programáticos o presupuestales, balances generales y su estado financiero;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Padrón de proveedores y contratistas;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coordinación y de concertación con los sectores social y privado;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inventario de bienes muebles e inmuebles en posesión y propiedad;</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recomendaciones emitidas por los órganos públicos del Estado Mexicano u organismos internacionales garantes de los derechos humanos, así como las acciones que han llevado a cabo para su atención;</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y laudos que se emitan en procesos o procedimientos seguidos en forma de juicio, en que sea parte el sujeto obligado;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participación ciudadana;</w:t>
      </w:r>
    </w:p>
    <w:p w:rsidR="00810F69" w:rsidRPr="0040486F" w:rsidRDefault="00810F69" w:rsidP="00810F69">
      <w:pPr>
        <w:numPr>
          <w:ilvl w:val="0"/>
          <w:numId w:val="27"/>
        </w:numPr>
        <w:tabs>
          <w:tab w:val="left" w:pos="993"/>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que ofrecen, incluyendo información sobre la población, objetivo y destino, así como los trámites, tiempos de respuesta, requisitos y formatos para acceder a los mismos;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integración del Comité de Transparencia, así como sus actas y resoluciones;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Todas las evaluaciones y encuestas que hagan los sujetos obligados a programas financiados con recursos públicos;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estudios financiados con recursos públicos;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jubilados y pensionados y el monto que reciben;</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ingresos recibidos por cualquier concepto señalando el nombre de los responsables de recibirlos, administrarlos y ejercerlos, así como su destino, indicando el destino de cada uno de ellos;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Donaciones hechas a terceros en dinero o en especie;</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disposición y guía de archivo documental;</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sesiones ordinarias y extraordinarias, así como las opiniones y recomendaciones que emitan, en su caso, los consejos consultivos;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información adicional así como cualquier otra información que sea de utilidad o se considere relevante, además de la que, con base en la información estadística, responda a las preguntas hechas con más frecuencia por el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comunicarán al Organismo Garante cuáles rubros de información detallados en este artículo es generada por ellos para que éste apruebe, fundada y motivadamente, la relación de la información que deberán publicar, debiendo hacer mención en su página de internet de la que no les resulte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OBLIGACIONES ESPECÍFICAS DE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30.-</w:t>
      </w:r>
      <w:r w:rsidRPr="0040486F">
        <w:rPr>
          <w:rFonts w:asciiTheme="minorHAnsi" w:eastAsia="Times New Roman" w:hAnsiTheme="minorHAnsi" w:cs="Arial"/>
          <w:i/>
          <w:sz w:val="24"/>
          <w:szCs w:val="24"/>
          <w:lang w:eastAsia="es-ES"/>
        </w:rPr>
        <w:t xml:space="preserve"> Además de lo señalado en el artículo 29 del presente ordenamiento, el Poder Ejecutivo del Estado deberá hacer pública en Internet la siguiente información:</w:t>
      </w:r>
    </w:p>
    <w:p w:rsidR="00810F69" w:rsidRPr="0040486F" w:rsidRDefault="00810F69" w:rsidP="00810F69">
      <w:pPr>
        <w:numPr>
          <w:ilvl w:val="0"/>
          <w:numId w:val="28"/>
        </w:numPr>
        <w:spacing w:after="120" w:line="240" w:lineRule="auto"/>
        <w:ind w:left="709" w:hanging="720"/>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manera general:</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Plan Estatal de Desarrollo;</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otorgados;</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expropiaciones decretadas y ejecutadas que incluya, cuando menos, la fecha de expropiación, el domicilio y la causa de utilidad pública y las ocupaciones superficiales;</w:t>
      </w:r>
    </w:p>
    <w:p w:rsidR="00810F69"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810F69" w:rsidRPr="00A62F94" w:rsidRDefault="00810F69" w:rsidP="00810F69">
      <w:pPr>
        <w:spacing w:after="120" w:line="240" w:lineRule="auto"/>
        <w:ind w:left="993"/>
        <w:jc w:val="both"/>
        <w:rPr>
          <w:rFonts w:asciiTheme="minorHAnsi" w:eastAsia="Times New Roman" w:hAnsiTheme="minorHAnsi" w:cs="Arial"/>
          <w:sz w:val="24"/>
          <w:szCs w:val="24"/>
          <w:lang w:eastAsia="es-ES"/>
        </w:rPr>
      </w:pPr>
      <w:r w:rsidRPr="00A62F94">
        <w:rPr>
          <w:rFonts w:asciiTheme="minorHAnsi" w:eastAsia="Times New Roman" w:hAnsiTheme="minorHAnsi" w:cs="Arial"/>
          <w:sz w:val="24"/>
          <w:szCs w:val="24"/>
          <w:lang w:eastAsia="es-ES"/>
        </w:rPr>
        <w:lastRenderedPageBreak/>
        <w:t>(REFORMADA DECRETO 301, P.O. 38, 03 JUNIO 2017)</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9329FA">
        <w:rPr>
          <w:rFonts w:asciiTheme="minorHAnsi" w:eastAsia="Times New Roman" w:hAnsiTheme="minorHAnsi" w:cs="Arial"/>
          <w:i/>
          <w:sz w:val="24"/>
          <w:szCs w:val="24"/>
          <w:lang w:eastAsia="es-ES"/>
        </w:rPr>
        <w:t xml:space="preserve"> Nombre, domicilio, teléfono y número de Fiat notarial de las personas a quienes se habilitó para ejercer como notarios públicos, tanto del titular como del adscrito y de quienes temporalmente se encuentren ejerciendo dicha función, así como la información relacionada con el proceso de otorgamiento de la patente y las sanciones que se les hubieran aplicado;</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detallada que contengan los planes de desarrollo urbano, ordenamiento territorial y ecológico, así como los tipos y usos de suelo; y</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disposiciones administrativas, con el plazo de anticipación que prevea la normatividad aplicable, salvo que su difusión pueda comprometer los efectos que se pretenden lograr con su omisión o se trate de situaciones de emergencia, de conformidad con dichas disposiciones.</w:t>
      </w:r>
    </w:p>
    <w:p w:rsidR="00810F69" w:rsidRPr="0040486F" w:rsidRDefault="00810F69" w:rsidP="00810F69">
      <w:pPr>
        <w:numPr>
          <w:ilvl w:val="0"/>
          <w:numId w:val="2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conducto de </w:t>
      </w:r>
      <w:r w:rsidRPr="00B84006">
        <w:rPr>
          <w:rFonts w:asciiTheme="minorHAnsi" w:eastAsia="Times New Roman" w:hAnsiTheme="minorHAnsi" w:cs="Arial"/>
          <w:i/>
          <w:sz w:val="24"/>
          <w:szCs w:val="24"/>
          <w:lang w:eastAsia="es-ES"/>
        </w:rPr>
        <w:t>la Secretaría General de Gobierno</w:t>
      </w:r>
      <w:r w:rsidRPr="0040486F">
        <w:rPr>
          <w:rFonts w:asciiTheme="minorHAnsi" w:eastAsia="Times New Roman" w:hAnsiTheme="minorHAnsi" w:cs="Arial"/>
          <w:i/>
          <w:sz w:val="24"/>
          <w:szCs w:val="24"/>
          <w:lang w:eastAsia="es-ES"/>
        </w:rPr>
        <w:t xml:space="preserve"> y de  Seguridad Pública, la siguiente información relacionada con los cuerpos de Policía de Procuración de Justicia, Preventiva y Estatal Acreditable:</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lugares y medios de acceso para presentar quejas vinculadas con la actuación de sus elementos, el formato para ellas, así como el plazo para su interposición;</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(plazos, requisitos, formatos para presentar postulaciones, exámenes) y resultados de los concursos de selección, así como los programas y resultados de la capacitación inicial;</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programa de capacitación permanente;</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de ascensos, procesos de decisión y criterios de separación del cargo, así como las resoluciones sobre imposición de sanciones a los integrantes de los cuerpos de policía;</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características y frecuencia de quejas sobre incidentes de uso de la fuerza, tanto en los órganos internos de la policía, la justicia penal y de la Comisión de Derechos Humanos, así como las medidas adoptadas al respecto;</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evaluación del desempeño policial;</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derivadas de su actuación, que contengan número de reportes, detenciones y determinación final emitida en cada caso; y</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que sea de utilidad o resulte relevante para el conocimiento y evaluación de las funciones y políticas públicas implementadas por cuerpos de Policía de Procuración de Justicia, Preventiva y Policía Estatal Acreditable.</w:t>
      </w:r>
    </w:p>
    <w:p w:rsidR="00810F69" w:rsidRPr="0040486F" w:rsidRDefault="00810F69" w:rsidP="00810F69">
      <w:pPr>
        <w:numPr>
          <w:ilvl w:val="0"/>
          <w:numId w:val="2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conducto de la Secretaría General de Gobierno, vinculado con la materia de protección civil:</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atlas estatal de riesgos, desvinculado por municipio;</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medidas generales de protección civil en caso de emergencia o desastre, referidas a cada tipo de riesgo que previsiblemente pudiera presentarse;</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Durante las contingencias deberá divulgarse el domicilio de los albergues y refugios, así como las rutas de evacuación; </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sitios en que habrán de entregarse apoyos a quienes resulten afectados por alguna contingencia, la naturaleza de los mismos así como la mención de quienes podrán resultar beneficiados; y</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las acciones realizadas durante las contingencias, señalando en su caso las aportaciones en dinero o en especie que reciban de personas físicas o morales, nacionales o internacionales, para ayudar a los municipios o comunidades afectados.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31.-</w:t>
      </w:r>
      <w:r w:rsidRPr="0040486F">
        <w:rPr>
          <w:rFonts w:asciiTheme="minorHAnsi" w:eastAsia="Times New Roman" w:hAnsiTheme="minorHAnsi" w:cs="Arial"/>
          <w:i/>
          <w:sz w:val="24"/>
          <w:szCs w:val="24"/>
          <w:lang w:eastAsia="es-ES"/>
        </w:rPr>
        <w:t xml:space="preserve"> Además de lo señalado en el artículo 29 de esta Ley, el Poder Legislativo del Estado deberá hacer pública en internet la siguiente información: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Agenda legislativa;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Gaceta parlamentaria;</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 del día de las sesiones;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diario de debates;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estenográficas;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nombres, fotografías y currículo de los legisladores, incluyendo los suplentes, vinculando estos datos con los nombres de las comisiones o comités a los que pertenecen, las iniciativas y productos legislativos que presenten, su asistencia al pleno y a comisiones, así como los asuntos en los que presenten excusas o sean recusados, información que deberá constar referida a cada uno de los integrantes de la legislatura;</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integración de las comisiones legislativas y las funciones que cada una tiene </w:t>
      </w:r>
      <w:r w:rsidRPr="00B84006">
        <w:rPr>
          <w:rFonts w:asciiTheme="minorHAnsi" w:eastAsia="Times New Roman" w:hAnsiTheme="minorHAnsi" w:cs="Arial"/>
          <w:i/>
          <w:sz w:val="24"/>
          <w:szCs w:val="24"/>
          <w:lang w:eastAsia="es-ES"/>
        </w:rPr>
        <w:t xml:space="preserve">encomendadas;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dietas y cualquier remuneración adicional que se establezca a favor de los legisladores y el </w:t>
      </w:r>
      <w:r w:rsidRPr="00B84006">
        <w:rPr>
          <w:rFonts w:asciiTheme="minorHAnsi" w:eastAsia="Times New Roman" w:hAnsiTheme="minorHAnsi" w:cs="Arial"/>
          <w:i/>
          <w:sz w:val="24"/>
          <w:szCs w:val="24"/>
          <w:lang w:eastAsia="es-ES"/>
        </w:rPr>
        <w:t>monto de los recursos asignados a los grupos parlamentarios, comisiones, mesa directiva y a los demás órganos del Congreso;</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b/>
          <w:i/>
          <w:sz w:val="24"/>
          <w:szCs w:val="24"/>
          <w:lang w:eastAsia="es-ES"/>
        </w:rPr>
      </w:pPr>
      <w:r w:rsidRPr="00B84006">
        <w:rPr>
          <w:rFonts w:asciiTheme="minorHAnsi" w:eastAsia="Times New Roman" w:hAnsiTheme="minorHAnsi" w:cs="Arial"/>
          <w:i/>
          <w:sz w:val="24"/>
          <w:szCs w:val="24"/>
          <w:lang w:eastAsia="es-ES"/>
        </w:rPr>
        <w:t xml:space="preserve">La asistencia de cada una de sus sesiones del Pleno y de las Comisiones y Comités;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Las leyes, decretos y acuerdos aprobados por el órgano legislativo;</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definitivas sobre juicios políticos y declaratorias de procedencia;</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 la información entregada en las audiencias públicas, comparecencias y en los procedimientos de designación, ratificación, elección, reelección o cualquier otro;</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contrataciones de servicios personales señalando el nombre del prestador del servicio, objeto, monto y vigencia del contrato de los órganos de gobierno, Comisiones, Comités, Grupos Parlamentarios y centros de estudio u órganos de investigación;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informe semestral del ejercicio presupuestal del uso y destino de los recursos financieros de los órganos de gobierno, Comisiones, Comités, Grupos Parlamentarios y centros de estudio u órganos de investigación;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de los estudios o investigaciones de naturaleza económica, política y social que realicen los centros de estudio o investigación legislativa; y</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El padrón de cabilderos, de acuerdo a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32.-</w:t>
      </w:r>
      <w:r w:rsidRPr="0040486F">
        <w:rPr>
          <w:rFonts w:asciiTheme="minorHAnsi" w:eastAsia="Times New Roman" w:hAnsiTheme="minorHAnsi" w:cs="Arial"/>
          <w:i/>
          <w:sz w:val="24"/>
          <w:szCs w:val="24"/>
          <w:lang w:eastAsia="es-ES"/>
        </w:rPr>
        <w:t xml:space="preserve"> De manera específica, además de la información mencionada en el artículo 29 de este ordenamiento, el Poder Judicial del Estado deberá publicar en Internet la siguiente información:</w:t>
      </w:r>
    </w:p>
    <w:p w:rsidR="00810F69" w:rsidRPr="00B84006"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Las tesis jurisprudenciales y aisladas; </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 las sentencias que sean de interés público</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estenográficas de las sesiones públicas;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relacionada con los procesos por medio de los cuales fueron designados los jueces y magistrados;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listas de acuerdos que diariamente se publiquen;</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lista de peritos acreditados ante el Supremo Tribunal de Justicia del Estado, y</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sentencias y resoluciones que hayan causado estado, pudiendo las partes oponerse a la publicación de sus datos personales.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estadísticas que se generen conforme a la fracción XXX del artículo 29 de esta Ley, derivadas de las funciones encomendadas al Poder Judicial deberán incluir, cuando menos: </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asuntos ingresados, terminados y en trámite o pendientes de resolución;</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sentencias dictadas;</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sentencias recurridas, diferenciando las confirmadas, revocadas o modificadas, por unidad jurisdiccional;</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resuelvan procedimientos en que se imponga o deniegue la aplicación de sanciones disciplinarias al personal a su servicio;</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sentencias que recaigan en las controversias que se susciten entre poderes públicos; y</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emita cuando realice funciones de jurado de sentencia, en términos de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33.-</w:t>
      </w:r>
      <w:r w:rsidRPr="0040486F">
        <w:rPr>
          <w:rFonts w:asciiTheme="minorHAnsi" w:eastAsia="Times New Roman" w:hAnsiTheme="minorHAnsi" w:cs="Arial"/>
          <w:i/>
          <w:sz w:val="24"/>
          <w:szCs w:val="24"/>
          <w:lang w:eastAsia="es-ES"/>
        </w:rPr>
        <w:t xml:space="preserve"> Además de lo señalado en el artículo 29 de la presente Ley, los Ayuntamientos de la entidad deberán hacer pública en internet la siguiente información:</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contenido de las gacetas municipales, las cuales deberán comprender los resolutivos y acuerdos aprobados por los ayuntamientos;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transmisión  de las sesiones de cabildo en vivo a través de su página oficial, almacenando en la misma, las videograbaciones que se susciten de la sesión para que puedan ser consultadas por los interesados; salvo los casos de excepción previstos en la Ley;</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sesiones de cabildo, los controles de asistencia de los integrantes del Ayuntamiento a las sesiones de cabildo y el sentido de votación de los miembros del cabildo sobre las iniciativas o acuerdos;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Plan Municipal de Desarrollo;</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las licencias de uso y construcción otorgadas;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otorgados;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cantidades recibidas por concepto de multas, vinculándolas con los ámbitos o materias de donde emanan y el uso o aplicación que se les da;</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Publicar los acuerdos tomados en las sesiones del Cabildo, salvo los casos de excepción previstos en la Ley;  </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que muestre el estado que guarda su situación patrimonial, incluyendo la relación de los bienes muebles e inmuebles que sean de su propiedad o dominio, con los inventarios relacionados con altas y bajas en el patrimonio del municipio;</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inherente a todo programa para la entrega de becas, apoyos, subsidios, subvenciones, incluyendo los requisitos, trámites y formatos necesarios para tener acceso a los mismos, así como información de las instancias a las que debe acudirse para obtener sus beneficios;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empréstitos y deudas que contraigan, así como los bienes que enajenen, en cualquier concepto; y</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anteproyectos de reglamentos y disposiciones administrativas de carácter general con anticipación a la fecha en que se pretendan publicar o someter a la consideración del Cabildo, salvo que su publicación pueda comprometer seriamente los efectos que se pretenda lograr o que se trate de situaciones de emergencia.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34.-</w:t>
      </w:r>
      <w:r w:rsidRPr="0040486F">
        <w:rPr>
          <w:rFonts w:asciiTheme="minorHAnsi" w:eastAsia="Times New Roman" w:hAnsiTheme="minorHAnsi" w:cs="Arial"/>
          <w:i/>
          <w:sz w:val="24"/>
          <w:szCs w:val="24"/>
          <w:lang w:eastAsia="es-ES"/>
        </w:rPr>
        <w:t xml:space="preserve"> Además de lo señalado en el artículo 29 del presente ordenamiento, el Tribunal Electoral del Estado deberá hacer pública en internet la siguiente información:</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expedientes sobre quejas o denuncias resueltas por violaciones a la Ley Electoral;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sentencias relevantes con los respectivos votos particulares, si los hubiere; </w:t>
      </w:r>
    </w:p>
    <w:p w:rsidR="00810F69" w:rsidRPr="00B84006"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 jurisprudencia que constituya;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sentencias que dicte el Tribunal Electoral del Poder Judicial de la Federación, en los juicios que se promuevan en contra de sus resoluciones;</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que sea de utilidad o resulte relevante para el conocimiento y evaluación de las funciones y políticas públicas implementadas por el Tribunal Electoral del Estado;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transcripción de las versiones taquigráfica, estenográficas, video gráfica, digital, electrónica o cualquier otra, de las sesiones del Tribunal; y</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actas de las sesiones del Tribunal.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35.-</w:t>
      </w:r>
      <w:r w:rsidRPr="0040486F">
        <w:rPr>
          <w:rFonts w:asciiTheme="minorHAnsi" w:eastAsia="Times New Roman" w:hAnsiTheme="minorHAnsi" w:cs="Arial"/>
          <w:i/>
          <w:sz w:val="24"/>
          <w:szCs w:val="24"/>
          <w:lang w:eastAsia="es-ES"/>
        </w:rPr>
        <w:t xml:space="preserve"> Además de lo señalado en el artículo 29 de esta Ley, el Instituto Electoral del Estado deberá publicar en Internet la siguiente información:</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listados de partidos políticos, asociaciones y agrupaciones políticas o de ciudadanos registrados ante la autoridad electoral;</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que presenten los partidos políticos, asociaciones y agrupaciones políticas o de ciudadanos;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geografía y cartografía electoral;</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registro de candidatos a cargos de elección popular;</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estaciones de radio y canales de televisión, pautas de transmisión, versiones de spots de los institutos electorales y de los partidos políticos;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metodología e informes sobre la publicación de encuestas por muestreo, encuestas de salida y conteos rápidos financiados por las autoridades electorales competentes;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metodología e informe del Programa de Resultados Electorales Preliminares;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cómputos totales de las elecciones y procesos de participación ciudadana;</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y declaraciones de validez de las elecciones;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sobre votos de mexicanos residentes en el extranjero;</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dictámenes, informes y resoluciones sobre pérdida de registro y liquidación del patrimonio de los partidos políticos locales;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monitoreo de medios;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resultado de los recursos de revisión interpuestos y las versiones públicas de las resoluciones emitidas;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sentencias que se dicten en los juicios de amparo que se promueven en contra de sus resoluciones; y</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actas de las sesiones del Pleno.</w:t>
      </w:r>
    </w:p>
    <w:p w:rsidR="00810F69" w:rsidRPr="00E926A6" w:rsidRDefault="00810F69" w:rsidP="00810F69">
      <w:pPr>
        <w:spacing w:after="120" w:line="240" w:lineRule="auto"/>
        <w:ind w:left="-142"/>
        <w:jc w:val="both"/>
        <w:rPr>
          <w:rFonts w:asciiTheme="minorHAnsi" w:eastAsia="Times New Roman" w:hAnsiTheme="minorHAnsi" w:cs="Arial"/>
          <w:i/>
          <w:sz w:val="24"/>
          <w:szCs w:val="24"/>
          <w:lang w:eastAsia="es-ES"/>
        </w:rPr>
      </w:pPr>
      <w:r w:rsidRPr="00E926A6">
        <w:rPr>
          <w:rFonts w:asciiTheme="minorHAnsi" w:eastAsia="Times New Roman" w:hAnsiTheme="minorHAnsi" w:cs="Arial"/>
          <w:b/>
          <w:i/>
          <w:sz w:val="24"/>
          <w:szCs w:val="24"/>
          <w:lang w:eastAsia="es-ES"/>
        </w:rPr>
        <w:t>Artículo 36.-</w:t>
      </w:r>
      <w:r w:rsidRPr="00E926A6">
        <w:rPr>
          <w:rFonts w:asciiTheme="minorHAnsi" w:eastAsia="Times New Roman" w:hAnsiTheme="minorHAnsi" w:cs="Arial"/>
          <w:i/>
          <w:sz w:val="24"/>
          <w:szCs w:val="24"/>
          <w:lang w:eastAsia="es-ES"/>
        </w:rPr>
        <w:t xml:space="preserve"> Además de lo señalado en el artículo 29 de la presente Ley, el Organismo Garante deberá hacer pública la siguiente información:</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E926A6">
        <w:rPr>
          <w:rFonts w:asciiTheme="minorHAnsi" w:eastAsia="Times New Roman" w:hAnsiTheme="minorHAnsi" w:cs="Arial"/>
          <w:i/>
          <w:sz w:val="24"/>
          <w:szCs w:val="24"/>
          <w:lang w:eastAsia="es-ES"/>
        </w:rPr>
        <w:t>La relación de observaciones y</w:t>
      </w:r>
      <w:r w:rsidRPr="0040486F">
        <w:rPr>
          <w:rFonts w:asciiTheme="minorHAnsi" w:eastAsia="Times New Roman" w:hAnsiTheme="minorHAnsi" w:cs="Arial"/>
          <w:i/>
          <w:sz w:val="24"/>
          <w:szCs w:val="24"/>
          <w:lang w:eastAsia="es-ES"/>
        </w:rPr>
        <w:t xml:space="preserve"> resoluciones emitidas y el seguimiento a cada una de ellas, incluyendo las respuestas entregadas por los sujetos obligados a los solicitantes en cumplimiento de las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criterios orientadores que deriven de sus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las sesiones del pleno y las versiones estenográficas;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de la evaluación al cumplimiento de la presente Ley por parte de los sujetos obligados;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estudios que apoyan la resolución de los recursos de revisión;</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sentencias, ejecutorias o suspensiones judiciales que existan en contra de sus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denuncias y recursos de revisión dirigidos a cada uno de los sujetos obligados; y</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de promoción de la cultura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w:t>
      </w:r>
      <w:r>
        <w:rPr>
          <w:rFonts w:asciiTheme="minorHAnsi" w:eastAsia="Times New Roman" w:hAnsiTheme="minorHAnsi" w:cs="Arial"/>
          <w:b/>
          <w:i/>
          <w:sz w:val="24"/>
          <w:szCs w:val="24"/>
          <w:lang w:eastAsia="es-ES"/>
        </w:rPr>
        <w:t xml:space="preserve">ículo 37.- </w:t>
      </w:r>
      <w:r w:rsidRPr="0040486F">
        <w:rPr>
          <w:rFonts w:asciiTheme="minorHAnsi" w:eastAsia="Times New Roman" w:hAnsiTheme="minorHAnsi" w:cs="Arial"/>
          <w:i/>
          <w:sz w:val="24"/>
          <w:szCs w:val="24"/>
          <w:lang w:eastAsia="es-ES"/>
        </w:rPr>
        <w:t>Además de lo señalado en el artículo 29 de este ordenamiento, la Comisión de Derechos Humanos, salvaguardando la información reservada y la confidencial, deberá hacer público en Internet lo siguiente:</w:t>
      </w:r>
    </w:p>
    <w:p w:rsidR="00810F69" w:rsidRPr="00B84006"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El listado y las versiones públicas de las recomendaciones emitidas, su destinatario o autoridad a la que se le formulan y el estado que guarda su atención, incluyendo, en su caso, las minutas de comparecencias de los titulares que se negaron a aceptar las recomendaciones; </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quejas y denuncias presentadas ante las autoridades administrativas y penales respectivas, señalando el estado procesal en que se encuentran y, en su caso, el sentido en el que se resolvieron;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del acuerdo de conciliación, previo consentimiento del quejoso;</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Listado de medidas precautorias, cautelares o equivalentes giradas, una vez concluido el expediente;</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relacionada con las acciones y resultados de defensa, promoción y protección de los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y versiones estenográficas de las sesiones del consejo consultivo, así como las opiniones que emite;</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resultados de los estudios, publicaciones o investigaciones que realicen;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de prevención y promoción en materia de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estado que guardan los derechos humanos en el sistema penitenciario y de readaptación social en la entidad;</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seguimiento, evaluación y monitoreo, en materia de igualdad entre mujeres y hombres;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y las acciones de coordinación con las dependencias competentes para impulsar el cumplimiento de tratados de los que el Estado Mexicano sea parte, en materia de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lineamientos generales de la actuación de la Comisión de Derechos Humanos y recomendaciones emitidas por el Consejo Consultivo; y </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dicte la Comisión Nacional de los Derechos Humanos, para resolver las quejas o inconformidades que presenten los particulares en contra de sus recomendaciones, acuerdos u omisiones.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sobre las denuncias presentadas deberán comprender, cuando menos:</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asuntos ingresados, terminados y en trámite o pendientes de resolución;</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resoluciones dictadas, especificando en cuántas se declaró improcedente la queja presentada y el número en las que resultó procedente dando lugar a la emisión de recomendaciones, y aquéllas que hubieran concluido de manera diversa a las anteriores; y</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incidencia de quejas relacionadas con el género de la víctima, su edad, el tipo de queja, la ubicación geográfica de su domicilio, y las autoridades en contra de quienes se presenten.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38.-</w:t>
      </w:r>
      <w:r w:rsidRPr="0040486F">
        <w:rPr>
          <w:rFonts w:asciiTheme="minorHAnsi" w:eastAsia="Times New Roman" w:hAnsiTheme="minorHAnsi" w:cs="Arial"/>
          <w:i/>
          <w:sz w:val="24"/>
          <w:szCs w:val="24"/>
          <w:lang w:eastAsia="es-ES"/>
        </w:rPr>
        <w:t xml:space="preserve"> Además de lo señalado en el artículo 29 de esta Ley, las universidades e instituciones de educación superior de naturaleza pública, deberán conservar permanentemente en Internet la siguiente información: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planes y programas de estudio según el sistema que ofrecen, ya sea escolarizado o abierto, con las áreas de conocimiento, el perfil profesional de quien cursa el plan de estudios, la duración del programa con las asignaturas y su valor en créditos;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 la información relacionada con sus procedimientos administrativos y de admisión;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remuneración de los profesores, incluyendo los estímulos al desempeño, nivel y monto;</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lista con los profesores con </w:t>
      </w:r>
      <w:r w:rsidRPr="00B84006">
        <w:rPr>
          <w:rFonts w:asciiTheme="minorHAnsi" w:eastAsia="Times New Roman" w:hAnsiTheme="minorHAnsi" w:cs="Arial"/>
          <w:i/>
          <w:sz w:val="24"/>
          <w:szCs w:val="24"/>
          <w:lang w:eastAsia="es-ES"/>
        </w:rPr>
        <w:t>licencia o en año sabático;</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públicos otorgados;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las becas y apoyos que otorgan, así como los procedimientos y requisitos para obtenerlos;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de los concursos de oposición;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relativa a los procesos de selección de los consejos;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Resultado de las evaluaciones del cuerpo docente; y</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instituciones incorporadas y requisitos de incorporación.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39.- </w:t>
      </w:r>
      <w:r w:rsidRPr="0040486F">
        <w:rPr>
          <w:rFonts w:asciiTheme="minorHAnsi" w:eastAsia="Times New Roman" w:hAnsiTheme="minorHAnsi" w:cs="Arial"/>
          <w:i/>
          <w:sz w:val="24"/>
          <w:szCs w:val="24"/>
          <w:lang w:eastAsia="es-ES"/>
        </w:rPr>
        <w:t>Además de lo señalado en el artículo 29 de la presente Ley, los fideicomisos, fondos públicos, mandatos o cualquier contrato análogo, deberán poner a disposición del público y mantener actualizada y accesible, en lo que resulte aplicable a cada contrato, la siguiente información:</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servidor público y de la persona física o moral que represente al fideicomitente, al fiduciario y al fideicomisario;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unidad administrativa responsable del fideicomiso;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monto total, el uso y destino del patrimonio fideicomitido, distinguiendo las aportaciones públicas y fuente de los recursos, los subsidios, donaciones, transferencias, excedentes, inversiones realizadas y aportaciones o subvenciones que reciban;</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saldo total al cierre del ejercicio fiscal, sin perjuicio de los demás informes que deban presentarse en los términos de las disposiciones aplicables;</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modificaciones que, en su caso, sufran los contratos o decretos de constitución del fideicomiso o del fondo público;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beneficiarios, en su caso;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Causas por las que,  en su caso,  se inicie  el proceso de constitución  o extinción   del fideicomiso o fondo público, especificando, de manera detallada, los recursos financieros destinados para tal efecto; y</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contratos de obras, adquisiciones y servicios que involucren recursos públicos del fideicomiso, así como los honorarios derivados de los servicios y operaciones que realice la institución de crédito o la fiduciaria.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40.-</w:t>
      </w:r>
      <w:r w:rsidRPr="0040486F">
        <w:rPr>
          <w:rFonts w:asciiTheme="minorHAnsi" w:eastAsia="Times New Roman" w:hAnsiTheme="minorHAnsi" w:cs="Arial"/>
          <w:i/>
          <w:sz w:val="24"/>
          <w:szCs w:val="24"/>
          <w:lang w:eastAsia="es-ES"/>
        </w:rPr>
        <w:t xml:space="preserve"> Las autoridades administrativas y jurisdiccionales en materia laboral deberán poner a disposición del público y mantener actualizada y accesible, la siguiente información de los sindicatos:</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documentos del registro de los sindicatos, que deberán contener, entre otros:</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domicilio;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registro;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del sindicato;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 los integrantes del comité ejecutivo y comisiones que ejerzan funciones de vigilancia;</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Fecha de vigencia del comité ejecutivo;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Número de socios;</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Centro de trabajo al que pertenezcan; y</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Central a la que pertenezcan, en su caso;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tomas de nota;</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estatuto;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socios;</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asamblea;</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reglamentos interiores de trabajo;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contratos colectivos, incluyendo el tabulador, convenios y las condiciones generales de trabajo; y</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Todos los documentos contenidos en el expediente de registro sindical y de contratos colectivos de trabajo.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autoridades administrativas y jurisdiccionales en materia laboral deberán expedir copias de los documentos que obren en los expedientes de los registros a los solicitantes que los requieran, de conformidad con el procedimiento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lo que se refiere a los documentos que obran en el expediente de registro de las agrupaciones, únicamente estará clasificada como información confidencial, los domicilios de los trabajadores señalados en los padrones de agremiados.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PARTIDOS POLÍTICOS, SINDICATOS Y PERSONAS DE DERECHO PÚBLICO Y PRIVADO QUE EJERZAN FUNCIONES DE AUTORIDAD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41.-</w:t>
      </w:r>
      <w:r w:rsidRPr="0040486F">
        <w:rPr>
          <w:rFonts w:asciiTheme="minorHAnsi" w:eastAsia="Times New Roman" w:hAnsiTheme="minorHAnsi" w:cs="Arial"/>
          <w:i/>
          <w:sz w:val="24"/>
          <w:szCs w:val="24"/>
          <w:lang w:eastAsia="es-ES"/>
        </w:rPr>
        <w:t xml:space="preserve"> Los partidos, agrupaciones políticas y las personas morales constituidas en asociación civil creadas por los ciudadanos que pretendan postular su candidatura independiente, deberán tener disponible al público, en internet, la siguiente información: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afiliados o militantes de los partidos políticos, que contendrá, exclusivamente: apellidos, nombre o nombres, fecha de afiliación y localidad de residencia;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acuerdos y resoluciones de los órganos de dirección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participación entre partidos políticos con organizaciones de la sociedad civil;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Contratos y convenios para la adquisición o arrendamiento de bienes y servicios;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minutas de las sesiones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responsables de los órganos internos de finanzas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organizaciones sociales adherentes o similares a algún partido político;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las cuotas ordinarias y extraordinarias aportadas por sus militantes;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autorizados de financiamiento privado, así como una relación de los nombres de los aportantes vinculados con los montos aportados;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aportantes a las precampañas y campañas políticas;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acta de la asamblea constitutiva;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demarcaciones electorales en las que participen;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tiempos que les corresponden en canales de radio y televisión;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Sus documentos básicos, plataformas electorales y programas de gobierno y los mecanismos de designación de los órganos de dirección en sus respectivos ámbitos;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sus órganos de dirección estatales y municipales;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currículo con fotografía reciente de todos los precandidatos y candidatos a cargos de elección popular, con el cargo al que se postula, el distrito electoral y la entidad federativa;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currículo de los dirigentes a nivel estatal y municipal;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frente, coalición o fusión que celebren o de participación electoral que realicen con otras agrupaciones políticas;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que emitan para la elección de sus dirigentes o la postulación de sus candidatos a cargos de elección popular y, en su caso, el registro correspondiente;</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responsables de los procesos internos de evaluación y selección de candidatos a cargos de elección popular, conforme a su normatividad interna;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sobre el gasto del financiamiento público ordinario recibido para la capacitación, promoción y desarrollo del liderazgo político de las mujeres;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dictadas por los órganos de control;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financiamiento público otorgados mensualmente, en cualquier modalidad, a sus órganos estatales y municipales, así como los descuentos correspondientes a sanciones;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estado de situación financiera y patrimonial, el inventario de los bienes inmuebles de los que sean propietarios, así como los anexos que formen parte integrante de los documentos anteriores;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emitan sus órganos disciplinarios de cualquier nivel, una vez que hayan causado estado;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nombres de sus representantes ante la autoridad electoral competente;</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control y supervisión aplicados a los procesos internos de selección de candidatos;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fundaciones, asociaciones, centros o institutos de investigación o capacitación o cualquier otro que reciban apoyo económico de los partidos políticos, así como los montos destinados para tal efecto; y</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dicte la autoridad electoral competente respecto de los informes de ingresos y gastos.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42.-</w:t>
      </w:r>
      <w:r w:rsidRPr="0040486F">
        <w:rPr>
          <w:rFonts w:asciiTheme="minorHAnsi" w:eastAsia="Times New Roman" w:hAnsiTheme="minorHAnsi" w:cs="Arial"/>
          <w:i/>
          <w:sz w:val="24"/>
          <w:szCs w:val="24"/>
          <w:lang w:eastAsia="es-ES"/>
        </w:rPr>
        <w:t xml:space="preserve"> Los sindicatos que reciban y ejerzan recursos públicos deberán mantener actualizada y accesible, de forma impresa para consulta directa y en los respectivos sitios de Internet, la información que les resulte aplicable del artículo 29, y 40 del presente ordenamiento y la siguiente:</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Contratos y convenios entre sindicatos y autoridades;</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del Comité Ejecutivo;</w:t>
      </w:r>
    </w:p>
    <w:p w:rsidR="00810F69" w:rsidRPr="00DC5C57"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DC5C57">
        <w:rPr>
          <w:rFonts w:asciiTheme="minorHAnsi" w:eastAsia="Times New Roman" w:hAnsiTheme="minorHAnsi" w:cs="Arial"/>
          <w:i/>
          <w:sz w:val="24"/>
          <w:szCs w:val="24"/>
          <w:lang w:eastAsia="es-ES"/>
        </w:rPr>
        <w:t>El padrón de socios; y</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relación detallada de los recursos públicos económicos, en especie, bienes o donativos que reciban y el informe detallado del ejercicio y destino final de los recursos públicos que ejerzan.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lo que se refiere a los documentos que obran en el expediente de registro de las asociaciones, únicamente estará clasificada como información confidencial, los domicilios de los trabajadores señalados en los padrones de socios.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de Transparencia. En todo momento el sindicato será el responsable de la publicación, actualización y accesibilidad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Artículo 43.-</w:t>
      </w:r>
      <w:r w:rsidRPr="00B84006">
        <w:rPr>
          <w:rFonts w:asciiTheme="minorHAnsi" w:eastAsia="Times New Roman" w:hAnsiTheme="minorHAnsi" w:cs="Arial"/>
          <w:i/>
          <w:sz w:val="24"/>
          <w:szCs w:val="24"/>
          <w:lang w:eastAsia="es-ES"/>
        </w:rPr>
        <w:t xml:space="preserve"> </w:t>
      </w:r>
      <w:r>
        <w:rPr>
          <w:rFonts w:asciiTheme="minorHAnsi" w:eastAsia="Times New Roman" w:hAnsiTheme="minorHAnsi" w:cs="Arial"/>
          <w:i/>
          <w:sz w:val="24"/>
          <w:szCs w:val="24"/>
          <w:lang w:eastAsia="es-ES"/>
        </w:rPr>
        <w:t xml:space="preserve"> DEROGADA DECRETO 301, P.O. 38, 03 JUNIO 2017.</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44.-</w:t>
      </w:r>
      <w:r w:rsidRPr="0040486F">
        <w:rPr>
          <w:rFonts w:asciiTheme="minorHAnsi" w:eastAsia="Times New Roman" w:hAnsiTheme="minorHAnsi" w:cs="Arial"/>
          <w:i/>
          <w:sz w:val="24"/>
          <w:szCs w:val="24"/>
          <w:lang w:eastAsia="es-ES"/>
        </w:rPr>
        <w:t xml:space="preserve"> Las obligaciones de transparencia consignadas en el presente capítulo, y particularmente la publicación de la información obligatoria que debe estar dispuesta en los apartados de transparencia, no deberán ser suprimidas por los sujetos obligados durante los períodos electorales, salvo que existiera disposición legal expresa o determinación de la autoridad competente.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45.-</w:t>
      </w:r>
      <w:r w:rsidRPr="0040486F">
        <w:rPr>
          <w:rFonts w:asciiTheme="minorHAnsi" w:eastAsia="Times New Roman" w:hAnsiTheme="minorHAnsi" w:cs="Arial"/>
          <w:i/>
          <w:sz w:val="24"/>
          <w:szCs w:val="24"/>
          <w:lang w:eastAsia="es-ES"/>
        </w:rPr>
        <w:t xml:space="preserve"> Los titulares de las Unidades de Transparencia y de los sujetos obligados dispondrán lo conducente para que al término de las administraciones, la información de publicación obligatoria permanezca a disposición del público, así como para que en los trámites que se realicen para la transición se haga entrega a quienes habrán de ejercer las responsabilidades institucionales de las claves, dominios y elementos necesarios para garantizar la permanencia en los sitios de internet de la información que permita cumplir con lo dispuesto en la presente Ley, así como su plena operatividad.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inobservancia de lo dispuesto en el presente artículo será considerada como una infracción a las disposiciones de este ordenamiento y dará lugar a imponer a los servidores públicos omisos las sanciones consideradas en la presente Ley.</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PERSONAS DE DERECHO PÚBLICO Y PRIVADO</w:t>
      </w:r>
    </w:p>
    <w:p w:rsidR="00810F69" w:rsidRPr="0040486F" w:rsidRDefault="00810F69" w:rsidP="00810F69">
      <w:pPr>
        <w:spacing w:after="120" w:line="240" w:lineRule="auto"/>
        <w:ind w:left="-142"/>
        <w:jc w:val="center"/>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QUE EJERZAN GASTO PÚBLICO, RECIBAN SUBSIDIO O SUBVENCIÓN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46.-</w:t>
      </w:r>
      <w:r w:rsidRPr="0040486F">
        <w:rPr>
          <w:rFonts w:asciiTheme="minorHAnsi" w:eastAsia="Times New Roman" w:hAnsiTheme="minorHAnsi" w:cs="Arial"/>
          <w:i/>
          <w:sz w:val="24"/>
          <w:szCs w:val="24"/>
          <w:lang w:eastAsia="es-ES"/>
        </w:rPr>
        <w:t xml:space="preserve"> Las personas de derecho público o privado que ejerzan gasto público o reciban subsidio o subvención, deberán tener disponible al público en internet, la siguiente información:</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documentos que acrediten su existencia legal, tratándose de personas morales;</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sus representantes o de las personas físicas que integran sus órganos de gobierno;</w:t>
      </w:r>
    </w:p>
    <w:p w:rsidR="00810F69" w:rsidRPr="0040486F" w:rsidRDefault="00810F69" w:rsidP="00E00B0B">
      <w:pPr>
        <w:numPr>
          <w:ilvl w:val="0"/>
          <w:numId w:val="46"/>
        </w:numPr>
        <w:tabs>
          <w:tab w:val="left" w:pos="5103"/>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 objeto social o fines que persiguen;</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monto de los recursos públicos que reciban, especificando las fuentes de donde provienen o, en su caso, el tipo de actividad que realizan ejerciendo actos de autoridad, señalando las características de la autorización que les hubiera sido extendida para tal efecto;</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respecto al uso aplicado a los recursos públicos recibidos; y</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demás, que determine el Organismo Garante que sea de utilidad o resulte relevante para el conocimiento de sus funciones y actividades.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47.-</w:t>
      </w:r>
      <w:r w:rsidRPr="0040486F">
        <w:rPr>
          <w:rFonts w:asciiTheme="minorHAnsi" w:eastAsia="Times New Roman" w:hAnsiTheme="minorHAnsi" w:cs="Arial"/>
          <w:i/>
          <w:sz w:val="24"/>
          <w:szCs w:val="24"/>
          <w:lang w:eastAsia="es-ES"/>
        </w:rPr>
        <w:t xml:space="preserve"> El Organismo Garante determinará cuáles personas de las que se refiere el artículo anterior, por no contar con los medios necesarios para dar cumplimiento directo a la publicación de la información que se precisa en la presente Ley, deberán hacerlo a través del sujeto obligado del que hubieran recibido recursos públicos, el que estará obligado a publicar la información correspondiente.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 momento, quienes reciban el recurso serán responsables de la publicación, actualización y accesibilidad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reticencia o negativa del sujeto obligado de proporcionar los medios para la publicación de la información a que se refiere el párrafo que antecede, será comunicada al Organismo Garante para que dicte las determinaciones procedentes para lograr el cumplimiento de esta obligación.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sus determinaciones, el Organismo Garante precisará el contenido de información adicional a publicarse, el sujeto obligado que debe proporcionar los espacios, herramientas y medios para su difusión y los plazos en que deberá darse cumplimiento a estas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48.-</w:t>
      </w:r>
      <w:r w:rsidRPr="0040486F">
        <w:rPr>
          <w:rFonts w:asciiTheme="minorHAnsi" w:eastAsia="Times New Roman" w:hAnsiTheme="minorHAnsi" w:cs="Arial"/>
          <w:i/>
          <w:sz w:val="24"/>
          <w:szCs w:val="24"/>
          <w:lang w:eastAsia="es-ES"/>
        </w:rPr>
        <w:t xml:space="preserve"> Las personas físicas o morales que reciban y ejerzan recursos públicos </w:t>
      </w:r>
      <w:r w:rsidRPr="00C1004F">
        <w:rPr>
          <w:rFonts w:asciiTheme="minorHAnsi" w:eastAsia="Times New Roman" w:hAnsiTheme="minorHAnsi" w:cs="Arial"/>
          <w:i/>
          <w:sz w:val="24"/>
          <w:szCs w:val="24"/>
          <w:lang w:eastAsia="es-ES"/>
        </w:rPr>
        <w:t>o ejerzan actos de autoridad deberán proporcionar la información que permita al sujeto obligado q</w:t>
      </w:r>
      <w:r w:rsidRPr="0040486F">
        <w:rPr>
          <w:rFonts w:asciiTheme="minorHAnsi" w:eastAsia="Times New Roman" w:hAnsiTheme="minorHAnsi" w:cs="Arial"/>
          <w:i/>
          <w:sz w:val="24"/>
          <w:szCs w:val="24"/>
          <w:lang w:eastAsia="es-ES"/>
        </w:rPr>
        <w:t>ue corresponda, cumplir con sus obligaciones de trasparencia y atender las solicitudes de acceso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VI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PUBLICACIÓN DE INFORMACIÓN ADICIONAL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49.-</w:t>
      </w:r>
      <w:r w:rsidRPr="0040486F">
        <w:rPr>
          <w:rFonts w:asciiTheme="minorHAnsi" w:eastAsia="Times New Roman" w:hAnsiTheme="minorHAnsi" w:cs="Arial"/>
          <w:i/>
          <w:sz w:val="24"/>
          <w:szCs w:val="24"/>
          <w:lang w:eastAsia="es-ES"/>
        </w:rPr>
        <w:t xml:space="preserve"> El Organismo Garante podrá, en cualquier momento, establecer rubros de información de publicación obligatoria para los sujetos obligados, adicional a la expresamente señalada en la Ley General y en </w:t>
      </w:r>
      <w:r w:rsidRPr="00A761DC">
        <w:rPr>
          <w:rFonts w:asciiTheme="minorHAnsi" w:eastAsia="Times New Roman" w:hAnsiTheme="minorHAnsi" w:cs="Arial"/>
          <w:i/>
          <w:sz w:val="24"/>
          <w:szCs w:val="24"/>
          <w:lang w:eastAsia="es-ES"/>
        </w:rPr>
        <w:t>el presente ordenamiento.</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50.-</w:t>
      </w:r>
      <w:r w:rsidRPr="0040486F">
        <w:rPr>
          <w:rFonts w:asciiTheme="minorHAnsi" w:eastAsia="Times New Roman" w:hAnsiTheme="minorHAnsi" w:cs="Arial"/>
          <w:i/>
          <w:sz w:val="24"/>
          <w:szCs w:val="24"/>
          <w:lang w:eastAsia="es-ES"/>
        </w:rPr>
        <w:t xml:space="preserve"> El procedimiento para determinar la información adicional que deben publicar los sujetos obligados deberá considerar, cuando menos, las siguientes fases:</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solicitará a los sujetos obligados un listado de la información que generen, administren o posean, y que atendiendo a los lineamientos que emita el Sistema Nacional de Transparencia, se considere relevante y de interés público su difusión;</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Dentro del término que para tal efecto se señale, los sujetos obligados deberán hacer entrega al Organismo Garante del listado de información que les fuera solicitado en términos de la fracción anterior, mismo que será materia de análisis por parte del Organismo Garante;</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emitirá el acuerdo respectivo mediante el cual se determine la información adicional que deberán publicar los sujetos obligados, en el que se precisarán los plazos de publicación, de actualización, el contenido y el período mínimo de permanencia a disposición del público. En todo caso deberá mencionarse la fecha en la que surtirá efectos plenos el acuerdo y, por consecuencia, resulte exigible la publicación de la información que en el mismo se señale; y</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acuerdo que se emita deberá notificarse a los sujetos obligados que queden vinculados a su observancia y se publicará en el Periódico Oficial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COMITÉS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51.-</w:t>
      </w:r>
      <w:r w:rsidRPr="0040486F">
        <w:rPr>
          <w:rFonts w:asciiTheme="minorHAnsi" w:eastAsia="Times New Roman" w:hAnsiTheme="minorHAnsi" w:cs="Arial"/>
          <w:i/>
          <w:sz w:val="24"/>
          <w:szCs w:val="24"/>
          <w:lang w:eastAsia="es-ES"/>
        </w:rPr>
        <w:t xml:space="preserve"> En cada sujeto obligado a que se refiere la presente Ley deberá integrarse un Comité de Transparencia colegiado e integrado por un número impar.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comités de Transparencia aprobarán sus resoluciones por mayoría de votos de los presentes y sesionarán con la asistencia de la mayoría de sus integrantes.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caso de empate, el Presidente del Comité de Transparencia tendrá voto de calidad.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52.-</w:t>
      </w:r>
      <w:r w:rsidRPr="0040486F">
        <w:rPr>
          <w:rFonts w:asciiTheme="minorHAnsi" w:eastAsia="Times New Roman" w:hAnsiTheme="minorHAnsi" w:cs="Arial"/>
          <w:i/>
          <w:sz w:val="24"/>
          <w:szCs w:val="24"/>
          <w:lang w:eastAsia="es-ES"/>
        </w:rPr>
        <w:t xml:space="preserve"> Entre quienes integren los Comités de Transparencia no deberá existir subordinación jerárquica ni podrán reunirse dos o más integrantes en una sola persona.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A las sesiones de los Comités de Transparencia podrán asistir como invitados aquellas personas que el propio órgano determine, quienes participarán con voz pero sin voto. Las ausencias de los integrantes serán suplidas por el servidor público que designe el superior jerárquico del ausente.</w:t>
      </w:r>
    </w:p>
    <w:p w:rsidR="00810F69" w:rsidRPr="0040486F" w:rsidRDefault="00810F69" w:rsidP="00810F69">
      <w:pPr>
        <w:tabs>
          <w:tab w:val="left" w:pos="709"/>
          <w:tab w:val="left" w:pos="993"/>
          <w:tab w:val="left" w:pos="1418"/>
        </w:tabs>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53.-</w:t>
      </w:r>
      <w:r w:rsidRPr="0040486F">
        <w:rPr>
          <w:rFonts w:asciiTheme="minorHAnsi" w:eastAsia="Times New Roman" w:hAnsiTheme="minorHAnsi" w:cs="Arial"/>
          <w:i/>
          <w:sz w:val="24"/>
          <w:szCs w:val="24"/>
          <w:lang w:eastAsia="es-ES"/>
        </w:rPr>
        <w:t xml:space="preserve"> Las dependencias del sujeto obligado correspondiente proporcionarán a los integrantes del Comité de Transparencia la información que requiera para determinar su clasificación; o en su caso, allegarse los elementos necesarios para que se encuentre en condiciones de resolver respecto de la inexistencia de la información y de la ampliación del período de prórroga de la información reservada.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54.- </w:t>
      </w:r>
      <w:r w:rsidRPr="0040486F">
        <w:rPr>
          <w:rFonts w:asciiTheme="minorHAnsi" w:eastAsia="Times New Roman" w:hAnsiTheme="minorHAnsi" w:cs="Arial"/>
          <w:i/>
          <w:sz w:val="24"/>
          <w:szCs w:val="24"/>
          <w:lang w:eastAsia="es-ES"/>
        </w:rPr>
        <w:t>Corresponderá a los Comités de Transparencia el ejercicio de las siguientes atribuciones:</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Instituir, coordinar y supervisar, en términos de las disposiciones aplicables, las acciones y los procedimientos para asegurar la mayor eficacia en la gestión de las solicitudes en materia de acceso a la información;</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Confirmar, modificar o revocar las determinaciones que en materia de ampliación del plazo de respuesta, clasificación de la información y declaración de inexistencia o de incompetencia realicen los titulares de las áreas de los sujetos obligados;</w:t>
      </w:r>
    </w:p>
    <w:p w:rsidR="00810F69" w:rsidRPr="00C1004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políticas para facilitar la obtención de información y el ejercicio del derecho de acceso a la información;</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la capacitación y actualización de los servidores públicos o integrantes adscritos a las Unidades de Transparencia;</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programas de capacitación en materia de transparencia, acceso a la información, accesibilidad y protección de datos personales, para todos los servidores públicos o integrantes del sujeto obligado;</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Recabar y enviar al Organismo Garante, de conformidad con los lineamientos que al efecto se expidan, los datos necesarios para la elaboración del informe anual;</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Solicitar al Organismo Garante la ampliación del plazo de reserva de la información en los términos previstos en la presente Ley; y</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se desprendan de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UNIDADES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9E1DF0">
        <w:rPr>
          <w:rFonts w:asciiTheme="minorHAnsi" w:eastAsia="Times New Roman" w:hAnsiTheme="minorHAnsi" w:cs="Arial"/>
          <w:b/>
          <w:i/>
          <w:sz w:val="24"/>
          <w:szCs w:val="24"/>
          <w:lang w:eastAsia="es-ES"/>
        </w:rPr>
        <w:t>Artículo 55.-</w:t>
      </w:r>
      <w:r w:rsidRPr="009E1DF0">
        <w:rPr>
          <w:rFonts w:asciiTheme="minorHAnsi" w:eastAsia="Times New Roman" w:hAnsiTheme="minorHAnsi" w:cs="Arial"/>
          <w:i/>
          <w:sz w:val="24"/>
          <w:szCs w:val="24"/>
          <w:lang w:eastAsia="es-ES"/>
        </w:rPr>
        <w:t xml:space="preserve"> Las Unidades de Transparencia son las instancias creadas por disposición reglamentaria o por acuerdo de los titulares de los sujetos obligados, que tendrán a su cargo la atención de las solicitudes </w:t>
      </w:r>
      <w:r w:rsidRPr="009E1DF0">
        <w:rPr>
          <w:rFonts w:asciiTheme="minorHAnsi" w:eastAsia="Times New Roman" w:hAnsiTheme="minorHAnsi" w:cs="Arial"/>
          <w:i/>
          <w:sz w:val="24"/>
          <w:szCs w:val="24"/>
          <w:lang w:eastAsia="es-ES"/>
        </w:rPr>
        <w:lastRenderedPageBreak/>
        <w:t>de información que les formulen los particulares, así como establecer los mecanismos de coordinación que se estimen necesarios para el debido cumplimiento de las obligaciones de transparencia que derivan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56.-</w:t>
      </w:r>
      <w:r w:rsidRPr="0040486F">
        <w:rPr>
          <w:rFonts w:asciiTheme="minorHAnsi" w:eastAsia="Times New Roman" w:hAnsiTheme="minorHAnsi" w:cs="Arial"/>
          <w:i/>
          <w:sz w:val="24"/>
          <w:szCs w:val="24"/>
          <w:lang w:eastAsia="es-ES"/>
        </w:rPr>
        <w:t xml:space="preserve"> Los sujetos obligados contarán con una Unidad de Transparencia que se ubicará en oficinas visibles y accesibles al público, debiendo integrarse por un titular y por los funcionarios y servidores públicos habilitados que determine el reglamento o acuerdo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57.-</w:t>
      </w:r>
      <w:r w:rsidRPr="0040486F">
        <w:rPr>
          <w:rFonts w:asciiTheme="minorHAnsi" w:eastAsia="Times New Roman" w:hAnsiTheme="minorHAnsi" w:cs="Arial"/>
          <w:i/>
          <w:sz w:val="24"/>
          <w:szCs w:val="24"/>
          <w:lang w:eastAsia="es-ES"/>
        </w:rPr>
        <w:t xml:space="preserve"> Compete a la Unidad de Transparencia:</w:t>
      </w:r>
    </w:p>
    <w:p w:rsidR="00810F69" w:rsidRPr="0040486F" w:rsidRDefault="00810F69" w:rsidP="00E00B0B">
      <w:pPr>
        <w:numPr>
          <w:ilvl w:val="0"/>
          <w:numId w:val="4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manejo de información:</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Ordenar, analizar y procesar las solicitudes de información presentadas ante el sujeto obligado;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Recabar, publicar y actualizar la información que debe permanecer en Internet, a disposición del público, en términos de esta Ley;</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Elaborar un registro estadístico de las solicitudes de acceso a la información, que contenga cuando menos los datos relativos a las respuestas, resultados y costos de reproducción y envío;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la transparencia y accesibilidad al interior del sujeto obligado;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Proponer se habilite al personal necesario para recibir y dar trámite a las solicitudes de información; </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e implementar políticas de transparencia proactiva procurando que sean accesibles a la población;</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al Comité de Transparencia los procedimientos internos que contribuyan a la mayor eficiencia en la atención de las solicitudes de acceso a la información; y</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confiera la normatividad relativa o, en su caso, el titular del sujeto obligado;</w:t>
      </w:r>
    </w:p>
    <w:p w:rsidR="00810F69" w:rsidRPr="0040486F" w:rsidRDefault="00810F69" w:rsidP="00E00B0B">
      <w:pPr>
        <w:numPr>
          <w:ilvl w:val="0"/>
          <w:numId w:val="4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atención de solicitudes:</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Recibir y tramitar las solicitudes de información, así como darles seguimiento hasta la entrega de la misma, cuando ello resulte procedente;</w:t>
      </w:r>
    </w:p>
    <w:p w:rsidR="00810F69" w:rsidRPr="0040486F" w:rsidRDefault="00810F69" w:rsidP="00E00B0B">
      <w:pPr>
        <w:numPr>
          <w:ilvl w:val="0"/>
          <w:numId w:val="51"/>
        </w:numPr>
        <w:tabs>
          <w:tab w:val="left" w:pos="1276"/>
        </w:tabs>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Llevar el registro y actualizarlo trimestralmente, de las solicitudes de acceso a la información, así como de los trámites y resultados obtenidos de la atención a las mismas, haciéndolo del conocimiento del titular del sujeto obligado;</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Asesorar y orientar a quienes lo requieran, en la elaboración de las solicitudes de información, así como en los trámites para el efectivo ejercicio de su derecho de acceso a la misma, y, en su caso, sobre los sujetos obligados competentes conforme a la normatividad aplicable;</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Hacer del conocimiento de la instancia competente la probable responsabilidad por el incumplimiento de las obligaciones previstas en la presente Ley y en las demás disposiciones aplicables;</w:t>
      </w:r>
    </w:p>
    <w:p w:rsidR="00810F69" w:rsidRPr="0040486F" w:rsidRDefault="00810F69" w:rsidP="00E00B0B">
      <w:pPr>
        <w:numPr>
          <w:ilvl w:val="0"/>
          <w:numId w:val="51"/>
        </w:numPr>
        <w:tabs>
          <w:tab w:val="left" w:pos="1276"/>
        </w:tabs>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Efectuar las notificaciones correspondientes a los solicitantes de información; y </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Apoyar y orientar a los particulares respecto de los recursos que tienen a su alcance para el ejercicio pleno de los derechos consagrados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58.-</w:t>
      </w:r>
      <w:r w:rsidRPr="0040486F">
        <w:rPr>
          <w:rFonts w:asciiTheme="minorHAnsi" w:eastAsia="Times New Roman" w:hAnsiTheme="minorHAnsi" w:cs="Arial"/>
          <w:i/>
          <w:sz w:val="24"/>
          <w:szCs w:val="24"/>
          <w:lang w:eastAsia="es-ES"/>
        </w:rPr>
        <w:t xml:space="preserve"> Las áreas de los sujetos obligados deberán prestar apoyo a la Unidad de Transparencia para el adecuado cumplimiento de sus responsabilidades, en caso de que existiera negativa o reticencia a colaborar, el titular de dicha unidad dará aviso al superior jerárquico para que le ordene realizar sin demora las acciones conducentes. De persistir la negativa de colaboración, la Unidad de Transparencia lo hará del conocimiento de la autoridad competente para que ésta inicie, en su caso, el procedimiento de responsabilidad respectivo.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IX</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ARCHIVOS ADMINISTRATIVOS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59.-</w:t>
      </w:r>
      <w:r w:rsidRPr="0040486F">
        <w:rPr>
          <w:rFonts w:asciiTheme="minorHAnsi" w:eastAsia="Times New Roman" w:hAnsiTheme="minorHAnsi" w:cs="Arial"/>
          <w:i/>
          <w:sz w:val="24"/>
          <w:szCs w:val="24"/>
          <w:lang w:eastAsia="es-ES"/>
        </w:rPr>
        <w:t xml:space="preserve"> Los sujetos obligados deberán preservar los documentos en archivos administrativos organizados y actualizados de conformidad con el contenido de la Ley de Archivos y demás disposiciones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60.-</w:t>
      </w:r>
      <w:r w:rsidRPr="0040486F">
        <w:rPr>
          <w:rFonts w:asciiTheme="minorHAnsi" w:eastAsia="Times New Roman" w:hAnsiTheme="minorHAnsi" w:cs="Arial"/>
          <w:i/>
          <w:sz w:val="24"/>
          <w:szCs w:val="24"/>
          <w:lang w:eastAsia="es-ES"/>
        </w:rPr>
        <w:t xml:space="preserve"> En el manejo de los documentos, los sujetos obligados deberán observar los principios de disponibilidad, eficiencia, localización expedita, integridad y conservación.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61.-</w:t>
      </w:r>
      <w:r w:rsidRPr="0040486F">
        <w:rPr>
          <w:rFonts w:asciiTheme="minorHAnsi" w:eastAsia="Times New Roman" w:hAnsiTheme="minorHAnsi" w:cs="Arial"/>
          <w:i/>
          <w:sz w:val="24"/>
          <w:szCs w:val="24"/>
          <w:lang w:eastAsia="es-ES"/>
        </w:rPr>
        <w:t xml:space="preserve"> Los sujetos obligados contarán con responsables del manejo de los documentos que se encuentren a su cargo, debiendo implementar los instrumentos de control y consulta, así como las demás medidas que se contemplan en la ley de la materia.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62.-</w:t>
      </w:r>
      <w:r w:rsidRPr="0040486F">
        <w:rPr>
          <w:rFonts w:asciiTheme="minorHAnsi" w:eastAsia="Times New Roman" w:hAnsiTheme="minorHAnsi" w:cs="Arial"/>
          <w:i/>
          <w:sz w:val="24"/>
          <w:szCs w:val="24"/>
          <w:lang w:eastAsia="es-ES"/>
        </w:rPr>
        <w:t xml:space="preserve"> Tratándose de archivos administrativos, invariablemente deberán observarse las normas archivísticas internacionalmente reconocidas, así como aquéllas que emitan las instancias competentes previstas en la ley de la materia.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63.-</w:t>
      </w:r>
      <w:r w:rsidRPr="0040486F">
        <w:rPr>
          <w:rFonts w:asciiTheme="minorHAnsi" w:eastAsia="Times New Roman" w:hAnsiTheme="minorHAnsi" w:cs="Arial"/>
          <w:i/>
          <w:sz w:val="24"/>
          <w:szCs w:val="24"/>
          <w:lang w:eastAsia="es-ES"/>
        </w:rPr>
        <w:t xml:space="preserve"> Tratándose de documentos de carácter reservado o confidencial, los sujetos obligados implementarán las medidas necesarias para indicar en las series documentales correspondientes, que pertenecen a dichas categorías.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64.-</w:t>
      </w:r>
      <w:r w:rsidRPr="0040486F">
        <w:rPr>
          <w:rFonts w:asciiTheme="minorHAnsi" w:eastAsia="Times New Roman" w:hAnsiTheme="minorHAnsi" w:cs="Arial"/>
          <w:i/>
          <w:sz w:val="24"/>
          <w:szCs w:val="24"/>
          <w:lang w:eastAsia="es-ES"/>
        </w:rPr>
        <w:t xml:space="preserve"> En el caso de los documentos electrónicos, los sujetos obligados deberán observar los criterios que de conformidad con los estándares internacionales emita la autoridad en materia de archivos, para normar su administración, de manera que aseguren su disponibilidad, preservación, integridad y autenticidad.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SECCIÓN SEGUNDA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PROCEDIMIENTOS DE VERIFICACIÓN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VERIFICACIÓN DE LAS OBLIGACIONES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65.-</w:t>
      </w:r>
      <w:r w:rsidRPr="0040486F">
        <w:rPr>
          <w:rFonts w:asciiTheme="minorHAnsi" w:eastAsia="Times New Roman" w:hAnsiTheme="minorHAnsi" w:cs="Arial"/>
          <w:i/>
          <w:sz w:val="24"/>
          <w:szCs w:val="24"/>
          <w:lang w:eastAsia="es-ES"/>
        </w:rPr>
        <w:t xml:space="preserve"> El Organismo Garante es la autoridad encargada de vigilar que la información cuya publicación corresponde a los sujetos obligados se encuentre a disposición en el apartado de transparencia, en los términos y condiciones que se establecen en la normatividad de la materia.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66.-</w:t>
      </w:r>
      <w:r w:rsidRPr="0040486F">
        <w:rPr>
          <w:rFonts w:asciiTheme="minorHAnsi" w:eastAsia="Times New Roman" w:hAnsiTheme="minorHAnsi" w:cs="Arial"/>
          <w:i/>
          <w:sz w:val="24"/>
          <w:szCs w:val="24"/>
          <w:lang w:eastAsia="es-ES"/>
        </w:rPr>
        <w:t xml:space="preserve"> La verificación del cumplimiento de publicación de la información obligatoria se realizará en línea en cada uno de los sitios de internet habilitados por los sujetos obligados, y podrá realizarse de manera oficiosa o derivado de la presentación de una denuncia.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67.-</w:t>
      </w:r>
      <w:r w:rsidRPr="0040486F">
        <w:rPr>
          <w:rFonts w:asciiTheme="minorHAnsi" w:eastAsia="Times New Roman" w:hAnsiTheme="minorHAnsi" w:cs="Arial"/>
          <w:i/>
          <w:sz w:val="24"/>
          <w:szCs w:val="24"/>
          <w:lang w:eastAsia="es-ES"/>
        </w:rPr>
        <w:t xml:space="preserve"> Tratándose de procedimientos de verificación oficiosa el Organismo Garante determinará la práctica de revisiones a los sujetos obligados, la que deberá llevarse a efecto de la siguiente manera: </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Permanentemente se llevarán a efecto diligencias para verificar que la información de publicación obligatoria que corresponde a cada sujeto obligado se encuentre dispuesta en su sitio de internet, así como el debido cumplimiento de las obligaciones de transparencia que derivan del presente ordenamiento, siendo opcional la cita al titular de la Unidad de Transparencia correspondiente;</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resultado de las verificaciones se consignará en los formatos que para el efecto se habiliten. Con el resultado de la inspección se emitirá un dictamen que determinará si se cumple con la publicación de información o si existen deficiencias al respecto, en este último caso, deberán precisarse los rubros de información que no se publican o se encuentran dispuestos de manera deficiente o contraria a las estipulaciones normativas, así como el término que se concede para que se subsanen las deficiencias encontradas, el cual no podrá ser superior a veinte días. Dentro de dicho término deberá informarse al Organismo Garante el cumplimiento que se hubiera dado a su resolución; y</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Organismo Garante verificará que se corrijan las deficiencias encontradas en cuyo caso emitirá un acuerdo de cumplimiento. Cuando de las actuaciones practicadas se advierta que persiste el incumplimiento de publicación de información, por conducto de la Unidad de Transparencia se notificará al superior jerárquico del servidor público responsable para que en un plazo inferior a cinco días se cumpla con los requerimientos del dictamen. De persistir en las deficiencias de publicación, el Pleno del Organismo Garante hará uso de las medidas de apremio y procederá a imponer las sanciones que legalmente procedan.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Durante la tramitación del procedimiento, el Organismo Garante podrá requerir a los sujetos obligados la presentación de informes complementarios que le permitan apreciar los motivos que ocasionan la deficiencia de publicación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 DENUNCIA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68.-</w:t>
      </w:r>
      <w:r w:rsidRPr="0040486F">
        <w:rPr>
          <w:rFonts w:asciiTheme="minorHAnsi" w:eastAsia="Times New Roman" w:hAnsiTheme="minorHAnsi" w:cs="Arial"/>
          <w:i/>
          <w:sz w:val="24"/>
          <w:szCs w:val="24"/>
          <w:lang w:eastAsia="es-ES"/>
        </w:rPr>
        <w:t xml:space="preserve"> Cualquier persona podrá denunciar ante el Organismo Garante las deficiencias de publicación de información. El Organismo Garante implementará las medidas necesarias para atender de manera expedita las denuncias que le sean planteadas, resolviendo en cuanto a su admisión dentro de los tres días siguientes a la recepción de aquellas y procediendo a instaurar el procedimiento correspondiente, que se sujetará en lo conducente a lo dispuesto en el artículo que antecede.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69.-</w:t>
      </w:r>
      <w:r w:rsidRPr="0040486F">
        <w:rPr>
          <w:rFonts w:asciiTheme="minorHAnsi" w:eastAsia="Times New Roman" w:hAnsiTheme="minorHAnsi" w:cs="Arial"/>
          <w:i/>
          <w:sz w:val="24"/>
          <w:szCs w:val="24"/>
          <w:lang w:eastAsia="es-ES"/>
        </w:rPr>
        <w:t xml:space="preserve"> Las denuncias que se presenten deberán contener los requisitos siguientes:</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Mención del sujeto obligado al que se denuncia;</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Descripción de las deficiencias de publicación que constituyen el motivo de la denuncia; y</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Domicilio físico o electrónico para recibir notificaciones.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Será optativo para el denunciante aportar elementos probatorios que acrediten las deficiencias denunciadas, así como satisfacer el requisito establecido en la fracción III de este precepto; en caso de omitir señalar domicilio las notificaciones se le realizarán por estrados.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igual manera será optativo para quien sustente una denuncia proporcionar su nombre y perfil, el cual en todo caso solamente podrá ser utilizado para fines estadísticos. La omisión de los datos referidos en el presente párrafo no será motivo para desechar la denuncia o negarle el trámite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70.-</w:t>
      </w:r>
      <w:r w:rsidRPr="0040486F">
        <w:rPr>
          <w:rFonts w:asciiTheme="minorHAnsi" w:eastAsia="Times New Roman" w:hAnsiTheme="minorHAnsi" w:cs="Arial"/>
          <w:i/>
          <w:sz w:val="24"/>
          <w:szCs w:val="24"/>
          <w:lang w:eastAsia="es-ES"/>
        </w:rPr>
        <w:t xml:space="preserve"> Las denuncias por incumplimiento de las obligaciones de transparencia de los sujetos obligados podrán presentarse por escrito ante el Organismo Garante o por los medios electrónicos que se habiliten para tal efecto.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estará obligado a notificar al denunciante el resultado del procedimiento que instaure para determinar si existen deficiencias en la publicación de información, lo que deberá realizar dentro de los tres días posteriores a la resolución.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71.-</w:t>
      </w:r>
      <w:r w:rsidRPr="0040486F">
        <w:rPr>
          <w:rFonts w:asciiTheme="minorHAnsi" w:eastAsia="Times New Roman" w:hAnsiTheme="minorHAnsi" w:cs="Arial"/>
          <w:i/>
          <w:sz w:val="24"/>
          <w:szCs w:val="24"/>
          <w:lang w:eastAsia="es-ES"/>
        </w:rPr>
        <w:t xml:space="preserve"> El Organismo Garante pondrá a disposición del público formatos físicos y electrónicos para que se consignen las denuncias a que se refiere el presente capítulo. Su utilización será optativa para los particulares, quienes en todo caso podrán consignarla en formatos libres.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CUARTO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ORGANISMO GARANTE Y SUS ATRIBUCIONES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ORGANISMO GARANTE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72.-</w:t>
      </w:r>
      <w:r w:rsidRPr="0040486F">
        <w:rPr>
          <w:rFonts w:asciiTheme="minorHAnsi" w:eastAsia="Times New Roman" w:hAnsiTheme="minorHAnsi" w:cs="Arial"/>
          <w:i/>
          <w:sz w:val="24"/>
          <w:szCs w:val="24"/>
          <w:lang w:eastAsia="es-ES"/>
        </w:rPr>
        <w:t xml:space="preserve"> El Instituto de Transparencia, Acceso a la Información Pública y Protección de Datos del Estado de Colima tendrá el carácter de organismo público constitucionalmente autónomo, con </w:t>
      </w:r>
      <w:r w:rsidRPr="0040486F">
        <w:rPr>
          <w:rFonts w:asciiTheme="minorHAnsi" w:eastAsia="Times New Roman" w:hAnsiTheme="minorHAnsi" w:cs="Arial"/>
          <w:i/>
          <w:sz w:val="24"/>
          <w:szCs w:val="24"/>
          <w:lang w:eastAsia="es-ES"/>
        </w:rPr>
        <w:lastRenderedPageBreak/>
        <w:t>personalidad jurídica y patrimonio propios. Será la autoridad encargada de garantizar el derecho de acceso a la información pública, la transparencia y la protección de datos personales en 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73.-</w:t>
      </w:r>
      <w:r w:rsidRPr="0040486F">
        <w:rPr>
          <w:rFonts w:asciiTheme="minorHAnsi" w:eastAsia="Times New Roman" w:hAnsiTheme="minorHAnsi" w:cs="Arial"/>
          <w:i/>
          <w:sz w:val="24"/>
          <w:szCs w:val="24"/>
          <w:lang w:eastAsia="es-ES"/>
        </w:rPr>
        <w:t xml:space="preserve"> El derecho de autonomía que constitucionalmente se otorga al Organismo Garante, responde al propósito de que se encuentre en condiciones de realizar sus fines y determinar su organización interna con la más amplia libertad, de decidir sus asuntos internos y gestionar lo conducente para la consecución de sus fines, conforme a los lineamientos establecidos por esta Ley, en el Reglamento y demás disposiciones legales que se expidan, así como de gestionar lo conducente para allegarse de recursos, para procurar la difusión de los derechos cuya tutela le es conferida y, en general, para el cumplimiento de sus objetivos y programas.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74.-</w:t>
      </w:r>
      <w:r w:rsidRPr="0040486F">
        <w:rPr>
          <w:rFonts w:asciiTheme="minorHAnsi" w:eastAsia="Times New Roman" w:hAnsiTheme="minorHAnsi" w:cs="Arial"/>
          <w:i/>
          <w:sz w:val="24"/>
          <w:szCs w:val="24"/>
          <w:lang w:eastAsia="es-ES"/>
        </w:rPr>
        <w:t xml:space="preserve"> El Organismo Garante ejercerá su competencia y jurisdicción sobre los sujetos obligados que determina la presente Ley, debiendo regir su funcionamiento de acuerdo a los principios de certeza, eficacia, imparcialidad, independencia, legalidad, máxima publicidad, objetividad, profesionalismo, y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75.-</w:t>
      </w:r>
      <w:r w:rsidRPr="0040486F">
        <w:rPr>
          <w:rFonts w:asciiTheme="minorHAnsi" w:eastAsia="Times New Roman" w:hAnsiTheme="minorHAnsi" w:cs="Arial"/>
          <w:i/>
          <w:sz w:val="24"/>
          <w:szCs w:val="24"/>
          <w:lang w:eastAsia="es-ES"/>
        </w:rPr>
        <w:t xml:space="preserve"> El Organismo Garante estará integrado por tres Comisionados quienes durarán en su encargo seis años y no podrán ser reelectos; funcionará con la presencia de la mayoría de sus integrantes y la asistencia de un Secretario de Acuerdos que dará fe y certificará sus actuaciones y la documentación que emita el Organismo Garante; el Pleno será su órgano supremo de gobierno y contará con la estructura orgánica que éste acuerde y se establezca en el Reglamento.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cargo de Comisionado será incompatible con cualquier otro empleo o cargo público, de la Federación, del Estado o los Ayuntamientos, exceptuándose los relativos a la educación, de beneficencia pública o los honoríficos en asociaciones científicas o literarias, siempre y cuando no exista remuneración alguna.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76.-</w:t>
      </w:r>
      <w:r w:rsidRPr="0040486F">
        <w:rPr>
          <w:rFonts w:asciiTheme="minorHAnsi" w:eastAsia="Times New Roman" w:hAnsiTheme="minorHAnsi" w:cs="Arial"/>
          <w:i/>
          <w:sz w:val="24"/>
          <w:szCs w:val="24"/>
          <w:lang w:eastAsia="es-ES"/>
        </w:rPr>
        <w:t xml:space="preserve"> Los Comisionados serán electos con el voto de las dos terceras partes de los miembros presentes del Congreso del Estado, a propuesta del Titular del Poder Ejecutivo Estatal.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realizar las propuestas, el Ejecutivo recibirá previamente las proposiciones de las instituciones y organizaciones académicas, profesionales y gremiales de la entidad; de entre éstas enviará al Congreso las propuestas respectivas.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los efectos consignados en el presente artículo, el Presidente del Organismo Garante informará al Titular del Poder Ejecutivo, con un mínimo de noventa días de anticipación al vencimiento del término para el cual fueron designados los Comisionados o, en su caso, de la falta o ausencia definitiva de alguno de ellos, con el propósito de que se inicie la tramitación del procedimiento para designar a quien habrá de sustituirlo.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Comisionados no podrán continuar ejerciendo el cargo fuera del período para el cual fueron nombrados. En caso de falta o ausencia definitiva de algún Comisionado, el Comisionado electo para sustituirlo durará en su encargo el tiempo restante de la vacante.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77.- </w:t>
      </w:r>
      <w:r w:rsidRPr="0040486F">
        <w:rPr>
          <w:rFonts w:asciiTheme="minorHAnsi" w:eastAsia="Times New Roman" w:hAnsiTheme="minorHAnsi" w:cs="Arial"/>
          <w:i/>
          <w:sz w:val="24"/>
          <w:szCs w:val="24"/>
          <w:lang w:eastAsia="es-ES"/>
        </w:rPr>
        <w:t>Para la integración de las propuestas a que se refiere el artículo anterior, el Titular del Poder Ejecutivo instaurará un procedimiento que contenga cuando menos las siguientes formalidades:</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Mediante convocatoria abierta que se publique en los medios de comunicación de mayor circulación en el Estado, se invitará a instituciones y organizaciones académicas, de profesionales y gremiales de la entidad, para que propongan candidatos a fungir como Comisionados del Organismo Garante;</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convocatoria deberán establecerse los plazos, lugares y horarios de presentación de las propuestas, los requisitos y forma de acreditarlos. En todo caso, deberá exigirse la satisfacción de los requisitos y condiciones establecidos en la presente Ley;</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toda propuesta deberá acompañarse la anuencia que por escrito presente la persona a quien se propone, y el compromiso de sujetarse a la determinación que se dicte para resolver la convocatoria;</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Titular del Poder Ejecutivo determinará en la propia convocatoria la conformación de una Comisión en la que deberán estar integrados cuando menos un representante de la Consejería Jurídica del Poder Ejecutivo del Estado que la presidirá, uno del Poder Judicial, uno del Organismo Garante, uno de alguna institución de educación superior, además de las personas o representantes de las agrupaciones que en cada caso determine la convocatoria respectiva;</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Comisión que se integre tendrá, entre otras, las siguientes funciones:</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Verificar que se encuentre debidamente acreditado que los aspirantes propuestos cumplan con los requisitos que establece esta Ley y la convocatoria respectiva;</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Realizar la revisión de los perfiles de los aspirantes, pudiendo considerarse en la convocatoria la práctica de evaluaciones y de entrevistas que deberán ser practicadas por los integrantes de la Comisión;</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Integrar una relación de los aspirantes que satisfagan los requisitos del caso, y emitir una opinión de los que consideren más aptos para ser integrados a la propuesta que realice el Titular del Poder Ejecutivo; y</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Titular del Poder Ejecutivo resolverá de manera discrecional y de entre los aprobados por la Comisión a que se refiere este artículo, a quienes integrarán su propuesta, la que considerará una persona por cada puesto de Comisionado que deba cubrirse.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78.-</w:t>
      </w:r>
      <w:r w:rsidRPr="0040486F">
        <w:rPr>
          <w:rFonts w:asciiTheme="minorHAnsi" w:eastAsia="Times New Roman" w:hAnsiTheme="minorHAnsi" w:cs="Arial"/>
          <w:i/>
          <w:sz w:val="24"/>
          <w:szCs w:val="24"/>
          <w:lang w:eastAsia="es-ES"/>
        </w:rPr>
        <w:t xml:space="preserve"> El Congreso deberá resolver la designación de los Comisionados con base en las propuestas que formule el Gobernador dentro de los diez días hábiles siguientes a la fecha en que reciba el documento correspondiente. De no emitir pronunciamiento expreso en dicho término se tendrán por aprobadas las propuestas del Gobernador.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el Congreso dicta determinación expresa negando la designación de los propuestos o no se alcanza la votación prevista en el artículo anterior, se comunicará al Ejecutivo para que envíe otra propuesta.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Si a la segunda ocasión que el Gobernador remita sus propuestas no fuera posible que se realice la designación relativa, el Gobernador determinará quién debe ocupar el cargo, de entre las personas que integraron las propuestas correspondientes.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conformación del Organismo Garante se procurará la equidad de género, que en el caso implicará que al menos uno de los integrantes del pleno sea de sexo distinto al de la mayoría.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renovación de los comisionados será siempre escalonada, en el propósito de que sea posible contar con una adecuada combinación de experiencia, conocimiento y prestigio personal, y profesional.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79.-</w:t>
      </w:r>
      <w:r w:rsidRPr="0040486F">
        <w:rPr>
          <w:rFonts w:asciiTheme="minorHAnsi" w:eastAsia="Times New Roman" w:hAnsiTheme="minorHAnsi" w:cs="Arial"/>
          <w:i/>
          <w:sz w:val="24"/>
          <w:szCs w:val="24"/>
          <w:lang w:eastAsia="es-ES"/>
        </w:rPr>
        <w:t xml:space="preserve"> Para ser Comisionado se requiere:</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Ser mexicano y tener residencia en el Estado, acreditable cuando menos de cinco años previos a la emisión de la convocatoria;</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Tener cuando menos, 30 años de edad, cumplidos al momento de la designación;</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título profesional a nivel licenciatura;</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Gozar de buen prestigio personal y profesional;</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Haberse desempeñado destacadamente en actividades profesionales, de servicio público o académicas relacionadas con la materia de esta Ley o de protección de datos personales;</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inhabilitado para ejercer cargos públicos;</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ser ministro de culto religioso;</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condenado por delito doloso;</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ocupado un cargo directivo en un partido o asociación política, ni haber participado como candidato a algún cargo de elección popular, durante al menos dos años previos a la fecha de la convocatoria, y</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Gobernador, Diputado, Alcalde, Síndico, Regidor, Magistrado del Supremo Tribunal de Justicia del Estado, del Tribunal Electoral del Estado, del Tribunal de Arbitraje y Escalafón, ni del Tribunal Contencioso Administrativo, dentro de los tres años anteriores a la fecha de emisión de la convocatoria.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80.-</w:t>
      </w:r>
      <w:r w:rsidRPr="0040486F">
        <w:rPr>
          <w:rFonts w:asciiTheme="minorHAnsi" w:eastAsia="Times New Roman" w:hAnsiTheme="minorHAnsi" w:cs="Arial"/>
          <w:i/>
          <w:sz w:val="24"/>
          <w:szCs w:val="24"/>
          <w:lang w:eastAsia="es-ES"/>
        </w:rPr>
        <w:t xml:space="preserve"> El Pleno sesionará cuando menos una vez al mes, y tendrá las siguientes atribuciones: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acceso a la información pública: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las políticas, lineamientos, resoluciones y recomendaciones que correspondan, para que los sujetos obligados cumplan con las disposiciones de esta Ley;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Verificar el cumplimiento de la presente Ley de parte de los sujetos obligados, instaurando los trámites que resulten necesarios para garantizar su observancia;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y resolver los recursos de revisión que se interpongan, así como vigilar el debido cumplimiento de sus resoluciones;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Solicitar al Organismo Garante Nacional el ejercicio de la facultad de atracción para conocer y resolver los recursos de revisión de su competencia originaria cuando éstos revistan interés y trascendencia;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Investigar de oficio o por denuncia, los hechos que sean o pudieran ser constitutivos de infracciones a esta Ley y demás disposiciones de la materia, dictando las determinaciones correspondientes;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Interponer acciones de inconstitucionalidad contra leyes emitidas por la Legislatura local que vulneren el derecho de acceso a la información pública y la protección de datos personales;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Implementar las medidas necesarias para que los sujetos obligados adopten los formatos de publicación de información aprobados en los lineamientos técnicos que emita el Sistema Nacional de Transparencia;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Evaluar la actuación de los sujetos obligados en materia de transparencia y acceso a la información pública, mediante la práctica de visitas de inspección periódicas o a través de los medios que considere adecuados;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Administrar la Plataforma Nacional de Transparencia que se ponga en funcionamiento para los sujetos obligados del Estado;</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Informar a las instancias competentes los casos en que pudiera existir responsabilidad por violaciones a las disposiciones de esta Ley;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Requerir, recibir, analizar y sistematizar los informes que deberán enviarle los sujetos obligados;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Imponer a los sujetos obligados las sanciones previstas en la presente Ley, cuando se acredite la inobservancia de sus disposiciones;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Presentar iniciativas de ley o decreto ante el H.  Congreso del Estado en materia de transparencia, acceso a la información pública y protección de datos personales; </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Aplicar las medidas de apremio que den celeridad al trámite de los recursos y procedimientos que se ventilen ante el Organismo Garante;</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cuando resulte procedente, copia de las resoluciones con los anexos respectivos a los órganos de control de los sujetos obligados, para que resuelvan respecto a la existencia de responsabilidad administrativa de los servidores públicos;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Clasificar y desclasificar información, así como tener acceso en cualquier momento a aquella que se encuentre en poder de los sujetos obligados para determinar si es debida su clasificación o se determina la procedencia de tener acceso a la misma; 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Ejercer las demás facultades previstas en la presente Ley y en otros ordenamientos, para salvaguardar el derecho de acceso a la información pública y la protección de los datos personales.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cultura de transparencia y de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y difundir de manera permanente la cultura de la transparencia y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la capacitación y actualización de los sujetos obligados a quienes resulte aplicable la presente Ley;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Instruir la elaboración de guías y folletos que expliquen los procedimientos y trámites que deban realizarse ante los sujetos obligados y ante el propio Organismo Garante;</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que en los programas y planes de estudio, libros y materiales que se utilicen en las instituciones educativas del Estado, se incluyan contenidos y referencias a los derechos tutelados en esta Ley;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Gestionar que las instituciones de educación superior públicas y privadas, incluyan asignaturas que ponderen los derechos tutelados en esta Ley, dentro de sus actividades académicas curriculares y extracurriculares;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Instaurar políticas de transparencia proactiva incluyentes;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Elaborar y publicar estudios, investigaciones y, en general, promover acciones que tengan como objetivo difundir el conocimiento de la materia;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Impulsar conjuntamente con instituciones de educación superior, la integración de centros de investigación, difusión y docencia sobre la transparencia, el derecho de acceso a la información pública y la protección de datos personales, que promuevan el conocimiento sobre estos temas y coadyuven con el Organismo Garante en sus tareas sustantivas;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Coordinar esfuerzos con los sujetos obligados para que en los procedimientos de acceso a la información, así como en los medios de impugnación se considere la atención a personas que la requieran en lengua indígena y formatos accesibles, comprendiendo la promoción de ajustes razonables tendientes a incorporar a personas con discapacidad;</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Garantizar a la población que integra grupos vulnerables el ejercicio pleno del derecho de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Orientar y auxiliar a las personas para ejercer los derechos de acceso a la información y protección de datos personales;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los principios de gobierno abierto, la participación ciudadana, la accesibilidad y la innovación tecnológica;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Implementar campañas permanentes de difusión de los derechos que tutela el organismo, así como de divulgación de las acciones que realiza, promoviendo en todo caso la igualdad sustantiva;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sesiones públicas; 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dispongan las leyes y aquéllas que resulten necesarias para lograr sus objetivos;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normativa:</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Reglamento;</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Expedir lineamientos generales para determinar los formatos y condiciones en que los sujetos obligados deberán publicar la información que debe estar permanentemente a disposición del público en Internet, para mejorar su comprensión y accesibilidad;</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Establecer rubros de información de publicación obligatoria adicionales a las estipuladas en este ordenamiento; </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instrumentos necesarios para la ejecución de las acciones que derivan de su participación en el Sistema Nacional de Transparencia;</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plazos para la rendición de informes y la realización de diligencias, cuando no se establezcan en los ordenamientos respectivos;</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criterios para el cobro y reducciones de derechos respecto del costo de reproducción de información; y</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 le confieran las leyes, el Reglamento y demás ordenamientos.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administración y gobierno interno: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Informar al H. Congreso del Estado de la proximidad a la conclusión del nombramiento de alguno de sus integrantes, a efecto de que proceda a realizar el procedimiento necesario para la designación de quien habrá de sustituirlo;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Designar, a propuesta del Comisionado Presidente, a los servidores públicos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la estructura administrativa del Organismo Garante y autorizar sus modificaciones, de acuerdo a sus necesidades;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Discutir y aprobar, en su caso, los programas de acción que se sometan a consideración del Pleno;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Formar parte del Sistema Nacional de Transparencia;</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informe que anualmente debe rendir el Comisionado Presidente;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proyecto de presupuesto anual de egresos del Organismo Garante y remitirlo al Titular del Poder Ejecutivo del Estado, para que sin modificación alguna lo presente al Congreso;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Designar a un integrante del Pleno para que represente al Organismo Garante ante el Sistema Nacional de Transparencia, en los casos de ausencia del Presidente;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Resolver sobre la enajenación o constitución de gravámenes de los bienes que integran el patrimonio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Dictar las medidas necesarias para garantizar el mejor funcionamiento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Calificar las excusas y recusaciones que sean planteadas en relación con cualquiera de sus miembros;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de las licencias para que sus integrantes se separen temporalmente del ejercicio del cargo y designar al funcionario que habrá de sustituirlos en sus funciones;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Aprobar la suscripción de los convenios y contratos que resulten necesarios para el eficaz cumplimiento de sus funciones;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para su publicación en el Periódico Oficial “El Estado de Colima”, los reglamentos, acuerdos, circulares, lineamientos y cualquier otro documento cuya difusión resulte necesaria;</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acuerdos, determinaciones y demás resoluciones necesarias para garantizar y hacer efectivo el pleno ejercicio de los derechos de acceso a la información pública y de protección de datos personales;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la modificación del presupuesto de egresos, mediante la inserción o supresión de partidas presupuestales, así como la transferencia de fondos entre aquéllas;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la adquisición de bienes, materiales y servicios para el funcionamiento del Organismo Garante, correspondiendo a los órganos de apoyo administrativo instaurar los mecanismos necesarios para tal efecto, en observancia a las disposiciones legales; y</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demás que establezca la normatividad que le resulte aplicable; </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relaciones interinstitucionales: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con autoridades federales, estatales o municipales, convenios de colaboración que permitan a Organismo Garante el mejor desempeño de sus funciones;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Suscribir convenios con organismos nacionales e internacionales, así como de la sociedad civil, para hacer más eficientes los canales de divulgación de los derechos que tutela el Organismo Garante;</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Consolidar la participación del Organismo Garante en agrupaciones en que participen entes que tengan a su cargo funciones similares, para intercambiar experiencias exitosas en la difusión y aplicación de los derechos que se encuentran bajo su tutela;</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mecanismos de coordinación con las instituciones del Sistema Nacional de Transparencia, que permitan la consolidación de las acciones que se concierten en dicho marco;</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los actos jurídicos necesarios para allegarse de recursos financieros;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Mantener una estrecha colaboración y coordinación con los sujetos obligados, para lograr el mejor cumplimiento de las disposiciones contenidas en la presente Ley;</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Impartir cursos de capacitación al personal al servicio de los sujetos obligados, en las materias que regula el presente ordenamiento, así como de la Ley de Protección de Datos Personales del Estado de Colima;</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Brindar apoyo a los sujetos obligados para que realicen las acciones tendientes a lograr el cumplimiento de las disposiciones de la presente Ley; y</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confieren esta Ley y el Reglamento.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81.-</w:t>
      </w:r>
      <w:r w:rsidRPr="0040486F">
        <w:rPr>
          <w:rFonts w:asciiTheme="minorHAnsi" w:eastAsia="Times New Roman" w:hAnsiTheme="minorHAnsi" w:cs="Arial"/>
          <w:i/>
          <w:sz w:val="24"/>
          <w:szCs w:val="24"/>
          <w:lang w:eastAsia="es-ES"/>
        </w:rPr>
        <w:t xml:space="preserve"> El Organismo Garante tendrá las obligaciones de transparencia y acceso a la información que la presente Ley señala para los sujetos obligados. Además deberá rendir ante el Congreso, en sesión solemne, un informe público de su desempeño, durante el mes de abril de cada año. En el informe abordará los temas más relevantes de su actuación, debiendo en todo caso hacer referencia a:</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más relevantes implementadas por el organismo;</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dificultades observadas en el cumplimiento de la presente Ley;</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recursos atendidos por el Organismo Garante;</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aprobados y ejecutados durante el período que comprende el informe; y</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aspectos más relevantes que resulten del análisis de la información que le remitan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b/>
          <w:i/>
          <w:sz w:val="24"/>
          <w:szCs w:val="24"/>
          <w:lang w:eastAsia="es-ES"/>
        </w:rPr>
        <w:t>Artículo 82.-</w:t>
      </w:r>
      <w:r w:rsidRPr="0040486F">
        <w:rPr>
          <w:rFonts w:asciiTheme="minorHAnsi" w:eastAsia="Times New Roman" w:hAnsiTheme="minorHAnsi" w:cs="Arial"/>
          <w:i/>
          <w:sz w:val="24"/>
          <w:szCs w:val="24"/>
          <w:lang w:eastAsia="es-ES"/>
        </w:rPr>
        <w:t xml:space="preserve"> Los Comisionados elegirán de entre ellos, a quien habrá de fungir como Presidente, el cual durará en este encargo un período de tres años, pudiendo ser reelecto en una sola ocasión.</w:t>
      </w:r>
    </w:p>
    <w:p w:rsidR="00810F69" w:rsidRPr="00E473C8"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b/>
          <w:i/>
          <w:sz w:val="24"/>
          <w:szCs w:val="24"/>
          <w:lang w:eastAsia="es-ES"/>
        </w:rPr>
        <w:t>Artículo 83.-</w:t>
      </w:r>
      <w:r w:rsidRPr="0040486F">
        <w:rPr>
          <w:rFonts w:asciiTheme="minorHAnsi" w:eastAsia="Times New Roman" w:hAnsiTheme="minorHAnsi" w:cs="Arial"/>
          <w:i/>
          <w:sz w:val="24"/>
          <w:szCs w:val="24"/>
          <w:lang w:eastAsia="es-ES"/>
        </w:rPr>
        <w:t xml:space="preserve"> </w:t>
      </w:r>
      <w:r w:rsidRPr="00C1004F">
        <w:rPr>
          <w:rFonts w:asciiTheme="minorHAnsi" w:eastAsia="Times New Roman" w:hAnsiTheme="minorHAnsi" w:cs="Arial"/>
          <w:i/>
          <w:sz w:val="24"/>
          <w:szCs w:val="24"/>
          <w:lang w:eastAsia="es-ES"/>
        </w:rPr>
        <w:t>De conformidad con lo dispuesto en la Ley General, los Comisionados solamente podrán ser removidos de su encargo en los supuestos que se consignan en el Título Cuarto de la Constitución Política de los Estados Unidos Mexicanos, la Constitución y la Ley de Responsabilidades. Serán por</w:t>
      </w:r>
      <w:r w:rsidRPr="0040486F">
        <w:rPr>
          <w:rFonts w:asciiTheme="minorHAnsi" w:eastAsia="Times New Roman" w:hAnsiTheme="minorHAnsi" w:cs="Arial"/>
          <w:i/>
          <w:sz w:val="24"/>
          <w:szCs w:val="24"/>
          <w:lang w:eastAsia="es-ES"/>
        </w:rPr>
        <w:t xml:space="preserve"> consecuencia sujetos de juicio político siempre que se encuentren en funciones y en los términos de la normatividad aplicable.</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84.- </w:t>
      </w:r>
      <w:r w:rsidRPr="0040486F">
        <w:rPr>
          <w:rFonts w:asciiTheme="minorHAnsi" w:eastAsia="Times New Roman" w:hAnsiTheme="minorHAnsi" w:cs="Arial"/>
          <w:i/>
          <w:sz w:val="24"/>
          <w:szCs w:val="24"/>
          <w:lang w:eastAsia="es-ES"/>
        </w:rPr>
        <w:t xml:space="preserve">El procedimiento de juicio político se sustanciará conforme a las estipulaciones contenidas en la Constitución Política del Estado y la legislación de la materia, siendo competente el H. Congreso del Estado para conocer e instruir el procedimiento relativo por las causas establecidas en los ordenamientos de la materia, debiendo observar en todo caso las formalidades del procedimiento.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85.-</w:t>
      </w:r>
      <w:r w:rsidRPr="0040486F">
        <w:rPr>
          <w:rFonts w:asciiTheme="minorHAnsi" w:eastAsia="Times New Roman" w:hAnsiTheme="minorHAnsi" w:cs="Arial"/>
          <w:i/>
          <w:sz w:val="24"/>
          <w:szCs w:val="24"/>
          <w:lang w:eastAsia="es-ES"/>
        </w:rPr>
        <w:t xml:space="preserve"> Corresponderá al Pleno conocer las solicitudes de licencia que para separarse del cargo de manera temporal o definitiva presenten sus integrantes, debiendo en todo caso adoptar las medidas necesarias para el buen funcionamiento del Organismo Garante.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86.-</w:t>
      </w:r>
      <w:r w:rsidRPr="0040486F">
        <w:rPr>
          <w:rFonts w:asciiTheme="minorHAnsi" w:eastAsia="Times New Roman" w:hAnsiTheme="minorHAnsi" w:cs="Arial"/>
          <w:i/>
          <w:sz w:val="24"/>
          <w:szCs w:val="24"/>
          <w:lang w:eastAsia="es-ES"/>
        </w:rPr>
        <w:t xml:space="preserve"> Cuando la separación o ausencia del cargo de Comisionado sea de carácter definitivo, el Organismo Garante deberá informar dicha circunstancia de inmediato al Gobernador, a quien corresponderá iniciar el procedimiento para sustituirlo.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87.-</w:t>
      </w:r>
      <w:r w:rsidRPr="0040486F">
        <w:rPr>
          <w:rFonts w:asciiTheme="minorHAnsi" w:eastAsia="Times New Roman" w:hAnsiTheme="minorHAnsi" w:cs="Arial"/>
          <w:i/>
          <w:sz w:val="24"/>
          <w:szCs w:val="24"/>
          <w:lang w:eastAsia="es-ES"/>
        </w:rPr>
        <w:t xml:space="preserve"> El Pleno determinará la procedencia de suplir la ausencia de sus integrantes, cuando no fueran mayores a treinta días. En los casos que se excediera dicho término o dentro del mismo cuando así lo resuelva el propio Pleno, con el propósito de no afectar la funcionalidad del Organismo Garante, el Pleno podrá designar al titular de alguna de las Secretarías del organismo para que realice las funciones del ausente.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 disposición resultará aplicable en los casos de ausencia definitiva de uno o más Comisionados, y la medida surtirá efectos durante el período necesario para que se designe a quien habrá de sustituirlo o, en el primer caso, cuando el ausente se reincorpore al ejercicio de su cargo.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88.-</w:t>
      </w:r>
      <w:r w:rsidRPr="0040486F">
        <w:rPr>
          <w:rFonts w:asciiTheme="minorHAnsi" w:eastAsia="Times New Roman" w:hAnsiTheme="minorHAnsi" w:cs="Arial"/>
          <w:i/>
          <w:sz w:val="24"/>
          <w:szCs w:val="24"/>
          <w:lang w:eastAsia="es-ES"/>
        </w:rPr>
        <w:t xml:space="preserve"> El patrimonio del Organismo Garante estará constituido por:</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ingresos que perciba conforme a lo asignado por el Congreso y sean contemplados en el Presupuesto General de Egresos del Estado;</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bienes muebles, inmuebles y demás recursos que los gobiernos federal, estatal o municipales le aporten para la realización de su objeto;</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subsidios y aportaciones permanentes, periódicas o eventuales, que reciba de los gobiernos federal, estatal y municipales y, en general, los que obtenga de instituciones públicas, privadas o de particulares, sean de carácter nacional o internacional;</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donaciones, herencias y legados que se hicieren a su favor; y</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Todos los demás ingresos y bienes que le correspondan o adquiera por cualquier otro medio legal.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89.- </w:t>
      </w:r>
      <w:r w:rsidRPr="0040486F">
        <w:rPr>
          <w:rFonts w:asciiTheme="minorHAnsi" w:eastAsia="Times New Roman" w:hAnsiTheme="minorHAnsi" w:cs="Arial"/>
          <w:i/>
          <w:sz w:val="24"/>
          <w:szCs w:val="24"/>
          <w:lang w:eastAsia="es-ES"/>
        </w:rPr>
        <w:t>Los bienes muebles e inmuebles del Organismo Garante gozarán de las franquicias y prerrogativas concedidas respecto a los fondos y bienes del Gobierno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Dichos bienes, así como los actos, convenios y contratos que pudiera celebrar el Organismo Garante en cumplimiento de su objeto, estarán igualmente exentos de toda clase de contribuciones, impuestos y derechos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90.-</w:t>
      </w:r>
      <w:r w:rsidRPr="0040486F">
        <w:rPr>
          <w:rFonts w:asciiTheme="minorHAnsi" w:eastAsia="Times New Roman" w:hAnsiTheme="minorHAnsi" w:cs="Arial"/>
          <w:i/>
          <w:sz w:val="24"/>
          <w:szCs w:val="24"/>
          <w:lang w:eastAsia="es-ES"/>
        </w:rPr>
        <w:t xml:space="preserve"> El Organismo Garante se considera de acreditada solvencia y no estará obligado a constituir depósitos ni fianzas en los actos jurídicos que realice para la consecución de su objeto.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91.-</w:t>
      </w:r>
      <w:r w:rsidRPr="0040486F">
        <w:rPr>
          <w:rFonts w:asciiTheme="minorHAnsi" w:eastAsia="Times New Roman" w:hAnsiTheme="minorHAnsi" w:cs="Arial"/>
          <w:i/>
          <w:sz w:val="24"/>
          <w:szCs w:val="24"/>
          <w:lang w:eastAsia="es-ES"/>
        </w:rPr>
        <w:t xml:space="preserve"> El ejercicio del presupuesto deberá ajustarse a los principios de austeridad, honestidad, legalidad, racionalidad, transparencia y optimización de recursos. El Organismo Garante administrará su patrimonio en estricta sujeción a las disposiciones contenidas en la presente Ley y en los demás ordenamientos que incidan en este ámbito, así como en las disposiciones y normatividad vigente en la materia.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ejercicio del presupuesto del Organismo Garante será revisado y fiscalizado en los términos de las disposiciones aplicables.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92.-</w:t>
      </w:r>
      <w:r w:rsidRPr="0040486F">
        <w:rPr>
          <w:rFonts w:asciiTheme="minorHAnsi" w:eastAsia="Times New Roman" w:hAnsiTheme="minorHAnsi" w:cs="Arial"/>
          <w:i/>
          <w:sz w:val="24"/>
          <w:szCs w:val="24"/>
          <w:lang w:eastAsia="es-ES"/>
        </w:rPr>
        <w:t xml:space="preserve"> El Congreso, a través del Presupuesto de Egresos, otorgará al Organismo Garante los recursos suficientes para el cumplimiento de sus funciones. La proyección del presupuesto deberá hacerse con responsabilidad, observando las condiciones sociales y normativas existentes. En correspondencia, el Congreso deberá procurar que le sean otorgados al Organismo Garante los recursos solicitados, los cuales en ningún caso podrán ser inferiores en términos reales a los asignados en el ejercicio fiscal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93.-</w:t>
      </w:r>
      <w:r w:rsidRPr="0040486F">
        <w:rPr>
          <w:rFonts w:asciiTheme="minorHAnsi" w:eastAsia="Times New Roman" w:hAnsiTheme="minorHAnsi" w:cs="Arial"/>
          <w:i/>
          <w:sz w:val="24"/>
          <w:szCs w:val="24"/>
          <w:lang w:eastAsia="es-ES"/>
        </w:rPr>
        <w:t xml:space="preserve"> Los servidores públicos del Organismo Garante estarán integrados en un servicio profesional de carrera, en los términos del reglamento que se expida para tal efecto.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Dicho ordenamiento deberá considerar disposiciones que privilegien los principios de legalidad, imparcialidad, especialización, honradez, lealtad y eficiencia.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LAS FACULTADES Y ATRIBUCIONES DE LOS COMISIONADOS</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94.-</w:t>
      </w:r>
      <w:r w:rsidRPr="0040486F">
        <w:rPr>
          <w:rFonts w:asciiTheme="minorHAnsi" w:eastAsia="Times New Roman" w:hAnsiTheme="minorHAnsi" w:cs="Arial"/>
          <w:i/>
          <w:sz w:val="24"/>
          <w:szCs w:val="24"/>
          <w:lang w:eastAsia="es-ES"/>
        </w:rPr>
        <w:t xml:space="preserve"> Serán atribuciones y facultades de los Comisionados del Organismo Garante, las siguientes:</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Representar al Organismo Garante en los asuntos que el Pleno determine;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Llevar a cabo actividades de promoción, difusión e investigación de la cultura de acceso a la información, en los términos que establece la presente Ley;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Proponer candidatos a titulares de las Secretarías y Unidades del Organismo Garante, así como al personal que les prestará apoyo directo, de conformidad con los procesos de selección aprobados por 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Participar en los procesos de selección del personal de apoyo del Organismo Garante de conformidad con los lineamientos que establezca 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Participar en los procesos de nombramiento, evaluación, promoción y remoción, en su caso, del personal del Organismo Garante de conformidad con los lineamientos aprobados por el Pleno, de acuerdo al presupuesto;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Asistir a las sesiones del Pleno con voz y voto;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Incorporar asuntos en el orden del día de las sesiones ordinarias del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Suscribir los acuerdos, actas, resoluciones y decisiones del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de los asuntos que le sean sometidos para su aprobación por el Pleno;</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Plantear oportunamente ante el Pleno, sus excusas por conflicto de interés;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Pedir informes sobre actividades y ejecución de programas, a través del Comisionado Presidente;</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Presentar al Pleno proyectos de acuerdos y resoluciones de los expedientes que les sean asignados en razón de turno;</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electos para fungir como Comisionado Presidente del Organismo Garante;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Solicitar licencia al Pleno para separarse temporalmente de su cargo, por causa justificada;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Suplir previa determinación del Pleno, al Comisionado Presidente en sus faltas temporales; y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señalen las leyes, reglamentos y demás disposiciones legales y administrativas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95.-</w:t>
      </w:r>
      <w:r w:rsidRPr="0040486F">
        <w:rPr>
          <w:rFonts w:asciiTheme="minorHAnsi" w:eastAsia="Times New Roman" w:hAnsiTheme="minorHAnsi" w:cs="Arial"/>
          <w:i/>
          <w:sz w:val="24"/>
          <w:szCs w:val="24"/>
          <w:lang w:eastAsia="es-ES"/>
        </w:rPr>
        <w:t xml:space="preserve"> Además de las funciones que corresponden a los Comisionados, serán atribuciones y obligaciones del Presidente del Organismo Garante, las siguientes: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Representar legalmente al Organismo Garante con facultades de mandatario para actos de administración, pleitos y cobranzas y de dominio;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Vigilar el correcto desempeño de las actividades de las diversas áreas del Organismo Garante;</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Convocar a sesiones al Pleno y conducir las mismas, en los términos que se establezcan en el Reglamento;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Cumplir y hacer cumplir los acuerdos emitidos por el Pleno;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Rendir, en representación del Organismo Garante, los informes que soliciten las demás autoridades;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voto de calidad, para el caso de empate en las determinaciones que tome el Pleno;</w:t>
      </w:r>
    </w:p>
    <w:p w:rsidR="00810F69"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Representar al Organismo Garante ante el Sistema Nacional de Transparencia;</w:t>
      </w:r>
    </w:p>
    <w:p w:rsidR="00810F69" w:rsidRPr="0040486F" w:rsidRDefault="00810F69" w:rsidP="00810F69">
      <w:pPr>
        <w:spacing w:after="120" w:line="240" w:lineRule="auto"/>
        <w:ind w:left="709"/>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(REFORMADA, DECRETO 301, P.O. 38, 03 JUNIO 2017)</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Rendir al Congreso, durante el mes de </w:t>
      </w:r>
      <w:r>
        <w:rPr>
          <w:rFonts w:asciiTheme="minorHAnsi" w:eastAsia="Times New Roman" w:hAnsiTheme="minorHAnsi" w:cs="Arial"/>
          <w:i/>
          <w:sz w:val="24"/>
          <w:szCs w:val="24"/>
          <w:lang w:eastAsia="es-ES"/>
        </w:rPr>
        <w:t>abril</w:t>
      </w:r>
      <w:r w:rsidRPr="0040486F">
        <w:rPr>
          <w:rFonts w:asciiTheme="minorHAnsi" w:eastAsia="Times New Roman" w:hAnsiTheme="minorHAnsi" w:cs="Arial"/>
          <w:i/>
          <w:sz w:val="24"/>
          <w:szCs w:val="24"/>
          <w:lang w:eastAsia="es-ES"/>
        </w:rPr>
        <w:t>, el informe anual aprobado por el Pleno;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acuerdos que resulten necesarios para el mejor desempeño de sus atribuciones;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el ejercicio del presupuesto de egresos del Organismo Garante, sujetándose a las disposiciones normativas correspondientes;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Fungir como titular de la relación laboral entre el Organismo Garante y sus trabajadores;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en tiempo y forma al Titular del Poder Ejecutivo el presupuesto de egresos aprobado por el Pleno, para su inclusión en el Presupuesto  de Egresos del Estado de Colima del Ejercicio Fiscal del año que corresponda; y</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confiera la presente Ley, el Reglamento y demás disposiciones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96.-</w:t>
      </w:r>
      <w:r w:rsidRPr="0040486F">
        <w:rPr>
          <w:rFonts w:asciiTheme="minorHAnsi" w:eastAsia="Times New Roman" w:hAnsiTheme="minorHAnsi" w:cs="Arial"/>
          <w:i/>
          <w:sz w:val="24"/>
          <w:szCs w:val="24"/>
          <w:lang w:eastAsia="es-ES"/>
        </w:rPr>
        <w:t xml:space="preserve"> Los Comisionados deberán excusarse para conocer de un caso concreto, en los supuestos que a continuación se enuncian:</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Tener parentesco hasta el tercer grado con alguna de las partes;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dependiente moral o económicamente de alguna de las partes, pudiendo ser persona física o moral;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Fungir como síndico, interventor, albacea o tutor de alguna de las partes;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o haber sido representante legal, patrono, corredor, comisionista, apoderado judicial o depositario de alguna de las partes que intervienen en el asunto;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Haber fungido como contraparte en algún asunto legal, o haber presentado denuncia en contra de alguna de las partes, o bien que cualquiera de ellas la hubiera presentado contra alguno de los Comisionados; y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otra análoga de la cual derive una relación que pudiera influir en el sentido de su voto.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partes en un recurso podrán recusar con causa a un Comisionado, sustentando su petición en los supuestos que se consignan en el presente artículo. Corresponderá al Pleno calificar la procedencia de la excusa o la recusación.</w:t>
      </w:r>
    </w:p>
    <w:p w:rsidR="00810F69" w:rsidRPr="0040486F" w:rsidRDefault="00810F69" w:rsidP="00810F69">
      <w:pPr>
        <w:spacing w:after="120" w:line="240" w:lineRule="auto"/>
        <w:ind w:left="-142"/>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CONSEJO CONSULTIVO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97.- </w:t>
      </w:r>
      <w:r w:rsidRPr="0040486F">
        <w:rPr>
          <w:rFonts w:asciiTheme="minorHAnsi" w:eastAsia="Times New Roman" w:hAnsiTheme="minorHAnsi" w:cs="Arial"/>
          <w:i/>
          <w:sz w:val="24"/>
          <w:szCs w:val="24"/>
          <w:lang w:eastAsia="es-ES"/>
        </w:rPr>
        <w:t>El Organismo Garante contará con un Consejo Consultivo, que estará integrado por 3 Consejeros designados por el H. Congreso del Estado, cuyo cargo será honorífico y lo ejercerán por un período de seis años. En la integración de este Consejo deberá observarse la equidad de género. Los integrantes del Consejo elegirán a quien de entre ellos fungirá como Presidente por un período de tres años, pudiendo ser ratificado por un término similar.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Secretario de Acuerdos del Organismo Garante fungirá como Secretario Técnico del Consejo Consultivo y será el responsable del resguardo de la documentación que genere el funcionamiento de este órgano así como de prestar el apoyo necesario para que se realicen las sesiones y reuniones de trabajo necesarias.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Congreso del Estado designará a un suplente por cada consejero, quienes entrarán en funciones en caso de ausencia temporal o definitiva del titular.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98.-</w:t>
      </w:r>
      <w:r w:rsidRPr="0040486F">
        <w:rPr>
          <w:rFonts w:asciiTheme="minorHAnsi" w:eastAsia="Times New Roman" w:hAnsiTheme="minorHAnsi" w:cs="Arial"/>
          <w:i/>
          <w:sz w:val="24"/>
          <w:szCs w:val="24"/>
          <w:lang w:eastAsia="es-ES"/>
        </w:rPr>
        <w:t xml:space="preserve"> El Consejo celebrará sesiones ordinarias y extraordinarias y tomará sus decisiones por mayoría de votos. Las sesiones ordinarias se verificarán cuando menos cada seis meses. Los miembros actuarán con voz y voto. El Secretario Técnico sólo tendrá derecho a voz.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99.-</w:t>
      </w:r>
      <w:r w:rsidRPr="0040486F">
        <w:rPr>
          <w:rFonts w:asciiTheme="minorHAnsi" w:eastAsia="Times New Roman" w:hAnsiTheme="minorHAnsi" w:cs="Arial"/>
          <w:i/>
          <w:sz w:val="24"/>
          <w:szCs w:val="24"/>
          <w:lang w:eastAsia="es-ES"/>
        </w:rPr>
        <w:t xml:space="preserve"> Los integrantes del Consejo deberán tener experiencia en las materias que tutela el Organismo Garante o en actividades inherentes a la protección de los derechos humanos, y deberán provenir de organizaciones de la sociedad civil y de instituciones académicas.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100.-</w:t>
      </w:r>
      <w:r w:rsidRPr="0040486F">
        <w:rPr>
          <w:rFonts w:asciiTheme="minorHAnsi" w:eastAsia="Times New Roman" w:hAnsiTheme="minorHAnsi" w:cs="Arial"/>
          <w:i/>
          <w:sz w:val="24"/>
          <w:szCs w:val="24"/>
          <w:lang w:eastAsia="es-ES"/>
        </w:rPr>
        <w:t xml:space="preserve"> El Consejo Consultivo contará con las siguientes facultades: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Opinar sobre el programa anual de trabajo del Organismo Garante y su cumplimiento;</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opinión sobre el proyecto de presupuesto para el ejercicio del año siguiente;</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el informe del Organismo Garante sobre el presupuesto asignado a programas y el ejercicio presupuestal y emitir las observaciones correspondientes;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opiniones no vinculantes, a petición del Organismo Garante o por iniciativa propia, sobre temas relevantes en las materias de transparencia, acceso a la información, accesibilidad y protección de datos personales;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opiniones técnicas para la mejora continua en el ejercicio de las funciones sustantivas del Organismo Garante;</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Opinar sobre la adopción de criterios generales en materia sustantiva; y</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Analizar y proponer la ejecución de programas, proyectos y acciones relacionadas con las materias de transparencia y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101.-</w:t>
      </w:r>
      <w:r w:rsidRPr="0040486F">
        <w:rPr>
          <w:rFonts w:asciiTheme="minorHAnsi" w:eastAsia="Times New Roman" w:hAnsiTheme="minorHAnsi" w:cs="Arial"/>
          <w:i/>
          <w:sz w:val="24"/>
          <w:szCs w:val="24"/>
          <w:lang w:eastAsia="es-ES"/>
        </w:rPr>
        <w:t xml:space="preserve"> Para ser designado Consejero del Organismo Garante, se deberán cumplir los requisitos siguientes:</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Ser ciudadano mexicano en pleno ejercicio de sus derechos políticos y civiles;</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por lo menos con veinticinco años al día de la designación;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título profesional de licenciatura;</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Tener conocimientos en materia de transparencia, acceso a la información, protección de datos personales o cualquier materia afín;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desempeñado un cargo de elección popular federal, estatal o municipal, durante los últimos tres años anteriores a la fecha de su designación;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dirigente de un comité directivo, ejecutivo o equivalente de un partido político a nivel nacional, estatal o municipal, ni ministro de ningún culto religioso, durante los tres años anteriores a la fecha de su designación; y</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Gozar de buena reputación y no haber sido condenado por delito doloso.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102.-</w:t>
      </w:r>
      <w:r w:rsidRPr="0040486F">
        <w:rPr>
          <w:rFonts w:asciiTheme="minorHAnsi" w:eastAsia="Times New Roman" w:hAnsiTheme="minorHAnsi" w:cs="Arial"/>
          <w:i/>
          <w:sz w:val="24"/>
          <w:szCs w:val="24"/>
          <w:lang w:eastAsia="es-ES"/>
        </w:rPr>
        <w:t xml:space="preserve"> La designación de los integrantes del Consejo Consultivo, se realizará bajo el siguiente procedimiento:</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Presidente del Organismo Garante informará al H. Congreso del Estado con noventa días de anticipación de la fecha de vencimiento del cargo de los Consejeros, para efecto de que esta Soberanía emita una convocatoria pública para que cualquier ciudadano que aspire al cargo pueda registrarse dentro del plazo de diez días naturales posteriores a la expedición de la misma;</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para el registro de los aspirantes al cargo de Consejero, el Congreso, por conducto de las instancias que él mismo designe, dentro de los cinco días siguientes, emitirá un dictamen en el que señale el número de aspirantes registrados y determine quiénes cumplieron con los requisitos exigidos en la presente Ley, mismos que continuarán con el procedimiento de selección;</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aspirantes que hayan acreditado los requisitos, deberán someterse a las diligencias que se señalen en la convocatoria, en el propósito de que el Congreso cuente con los elementos necesarios para resolver sobre las designaciones;</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Concluida la práctica de las diligencias que se hubieran considerado para el procedimiento, la Comisión que el Congreso hubiera designado realizará la propuesta de aquellos aspirantes que cumplan con el perfil necesario para ser nombrados Consejeros, mediante el dictamen correspondiente, y lo presentará al Pleno del Congreso del Estado para su discusión y aprobación, en su caso; y</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dos terceras partes de los diputados presentes deberán aprobar el dictamen que se les presente; en caso de no obtener la votación requerida, la Comisión encargada de realizar el procedimiento presentará nueva lista de candidatos hasta obtener la aprobación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DEL DERECHO DE INICIATIVA Y LA INTERPOSICIÓN DE ACCIONES DE INCONSTITUCIONALIDAD</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103.-</w:t>
      </w:r>
      <w:r w:rsidRPr="0040486F">
        <w:rPr>
          <w:rFonts w:asciiTheme="minorHAnsi" w:eastAsia="Times New Roman" w:hAnsiTheme="minorHAnsi" w:cs="Arial"/>
          <w:i/>
          <w:sz w:val="24"/>
          <w:szCs w:val="24"/>
          <w:lang w:eastAsia="es-ES"/>
        </w:rPr>
        <w:t xml:space="preserve"> El Organismo Garante podrá presentar al Honorable Congreso del Estado, en cualquier momento, iniciativas de Ley o decreto en materias de transparencia, acceso a la información pública y protección de datos, cuya remisión deberá ser previamente aprobada por el Pleno. El trámite correspondiente se sujetará a las disposiciones normativas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También estará facultado para presentar a los sujetos obligados propuestas de normas generales para que regulen los procedimientos y ámbitos que les competen conforme a la presente Ley, así como para formular observaciones a los instrumentos normativos que aprueben aquellos cuando se estimen contradictorios a la legislación o lesivos al ejercicio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104.-</w:t>
      </w:r>
      <w:r w:rsidRPr="0040486F">
        <w:rPr>
          <w:rFonts w:asciiTheme="minorHAnsi" w:eastAsia="Times New Roman" w:hAnsiTheme="minorHAnsi" w:cs="Arial"/>
          <w:i/>
          <w:sz w:val="24"/>
          <w:szCs w:val="24"/>
          <w:lang w:eastAsia="es-ES"/>
        </w:rPr>
        <w:t xml:space="preserve"> El Organismo Garante contará con facultades para interponer acciones de inconstitucionalidad en contra de leyes expedidas por la Legislatura del Estado, cuando considere que aquellas vulneran el derecho de acceso a la información pública y la protección de datos personales. En este caso, deberá contar con al acuerdo emitido por el Pleno.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105.-</w:t>
      </w:r>
      <w:r w:rsidRPr="0040486F">
        <w:rPr>
          <w:rFonts w:asciiTheme="minorHAnsi" w:eastAsia="Times New Roman" w:hAnsiTheme="minorHAnsi" w:cs="Arial"/>
          <w:i/>
          <w:sz w:val="24"/>
          <w:szCs w:val="24"/>
          <w:lang w:eastAsia="es-ES"/>
        </w:rPr>
        <w:t xml:space="preserve"> Las acciones de inconstitucionalidad que promueva el Organismo Garante se sustanciarán conforme a lo dispuesto por la Constitución Política de los Estados Unidos Mexicanos y la Ley Reglamentaria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QUINTO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DIVERSOS TIPOS DE INFORMACIÓN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106.-</w:t>
      </w:r>
      <w:r w:rsidRPr="0040486F">
        <w:rPr>
          <w:rFonts w:asciiTheme="minorHAnsi" w:eastAsia="Times New Roman" w:hAnsiTheme="minorHAnsi" w:cs="Arial"/>
          <w:i/>
          <w:sz w:val="24"/>
          <w:szCs w:val="24"/>
          <w:lang w:eastAsia="es-ES"/>
        </w:rPr>
        <w:t xml:space="preserve"> El ejercicio del derecho de acceso a la información pública sólo será restringido en los términos de lo dispuesto por la presente Ley, de acuerdo a las normas que se plantean para el tratamiento de la información reservada y la confidencial. Los sujetos obligados deberán dictar las determinaciones necesarias para la protección de los datos personales que se encuentren en los documentos que tengan bajo su control y resguardo.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107.-</w:t>
      </w:r>
      <w:r w:rsidRPr="0040486F">
        <w:rPr>
          <w:rFonts w:asciiTheme="minorHAnsi" w:eastAsia="Times New Roman" w:hAnsiTheme="minorHAnsi" w:cs="Arial"/>
          <w:i/>
          <w:sz w:val="24"/>
          <w:szCs w:val="24"/>
          <w:lang w:eastAsia="es-ES"/>
        </w:rPr>
        <w:t xml:space="preserve"> Por regla general, la información que se encuentre en poder de los sujetos obligados tiene el carácter de pública, y los particulares tendrán derecho a imponerse de la misma en la forma y términos consignados en el presente ordenamiento y con las restricciones que en el mismo se contemplan.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todos los casos, los sujetos obligados deberán proporcionar la siguiente información pública, cuando les sea requerida por los particulares: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relación del personal a su servicio;</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información sobre adjudicaciones y adquisiciones, sean realizadas por concurso, licitación, de manera directa o por invitación, siempre que se trate de procedimientos concluidos;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Exceptuando la información que sea de carácter reservado o confidencial, los expedientes sobre las concesiones, permisos, licencias y autorizaciones otorgadas por los sujetos obligados;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relacionada con los programas de subsidio u otorgamiento de becas, los criterios de asignación, las dependencias responsables de su ejecución, así como los padrones de beneficiarios;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se emitan y que resuelvan el no ejercicio de la acción penal, salvaguardando los datos confidenciales que pudieran constar en las mismas; y</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y contratos que los sujetos obligados celebren con:</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Federación, los Estados y los Municipios;</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Organizaciones de la sociedad civil;</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Partidos y asociaciones políticas;</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Instituciones de enseñanza públicas y privada;, y</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general, con toda persona física o moral, siempre que se implementen las medidas que resulten necesarias para salvaguardar la secrecía de la información reservada y de la confidencial.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los contratos y convenios que contengan datos confidenciales o de carácter personal, se debe aplicar la excepción de la entrega de la información o supresión de tal información en la versión pública que al efecto se elabore.</w:t>
      </w:r>
    </w:p>
    <w:p w:rsidR="00810F69" w:rsidRPr="0040486F" w:rsidRDefault="00810F69" w:rsidP="00810F69">
      <w:pPr>
        <w:spacing w:after="120" w:line="240" w:lineRule="auto"/>
        <w:ind w:left="-142"/>
        <w:jc w:val="both"/>
        <w:rPr>
          <w:rFonts w:asciiTheme="minorHAnsi" w:eastAsia="Times New Roman" w:hAnsiTheme="minorHAnsi" w:cs="Arial"/>
          <w:i/>
          <w:dstrike/>
          <w:sz w:val="24"/>
          <w:szCs w:val="24"/>
          <w:lang w:eastAsia="es-ES"/>
        </w:rPr>
      </w:pPr>
      <w:r w:rsidRPr="0040486F">
        <w:rPr>
          <w:rFonts w:asciiTheme="minorHAnsi" w:eastAsia="Times New Roman" w:hAnsiTheme="minorHAnsi" w:cs="Arial"/>
          <w:b/>
          <w:i/>
          <w:sz w:val="24"/>
          <w:szCs w:val="24"/>
          <w:lang w:eastAsia="es-ES"/>
        </w:rPr>
        <w:t>Artículo 108.-</w:t>
      </w:r>
      <w:r w:rsidRPr="0040486F">
        <w:rPr>
          <w:rFonts w:asciiTheme="minorHAnsi" w:eastAsia="Times New Roman" w:hAnsiTheme="minorHAnsi" w:cs="Arial"/>
          <w:i/>
          <w:sz w:val="24"/>
          <w:szCs w:val="24"/>
          <w:lang w:eastAsia="es-ES"/>
        </w:rPr>
        <w:t xml:space="preserve"> La información contenida en los expedientes judiciales así como las sentencias serán consideradas públicas, siempre que se trate de asuntos concluidos en definitiva.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del presente artículo, las resoluciones interlocutorias o las que ponen fin al procedimiento, tendrán el carácter de públicas una vez que el asunto quede concluido mediante resolución que cause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109.-</w:t>
      </w:r>
      <w:r w:rsidRPr="0040486F">
        <w:rPr>
          <w:rFonts w:asciiTheme="minorHAnsi" w:eastAsia="Times New Roman" w:hAnsiTheme="minorHAnsi" w:cs="Arial"/>
          <w:i/>
          <w:sz w:val="24"/>
          <w:szCs w:val="24"/>
          <w:lang w:eastAsia="es-ES"/>
        </w:rPr>
        <w:t xml:space="preserve"> Las solicitudes de información relativas a expedientes judiciales y a las sentencias no publicadas serán formuladas a cada órgano encargado de impartir justicia, el que será responsable de analizar si resulta o no procedente obsequiar la solicitud y, en su caso, permitir el acceso a los expedientes.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partes podrán solicitar al titular del órgano jurisdiccional que clasifique como confidencial la información que se aporte con motivo de los procesos que ante él se tramiten, así como los datos que pudieran conducir a su identificación; en ese supuesto, de plantearse alguna solicitud de información por un tercero, previamente deberá resolverse sobre la clasificación relativa, y sólo en caso de considerarla improcedente se acordará el acceso a la información solicitada.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 CLASIFICACIÓN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110.-</w:t>
      </w:r>
      <w:r w:rsidRPr="0040486F">
        <w:rPr>
          <w:rFonts w:asciiTheme="minorHAnsi" w:eastAsia="Times New Roman" w:hAnsiTheme="minorHAnsi" w:cs="Arial"/>
          <w:i/>
          <w:sz w:val="24"/>
          <w:szCs w:val="24"/>
          <w:lang w:eastAsia="es-ES"/>
        </w:rPr>
        <w:t xml:space="preserve"> Los sujetos obligados deberán resolver respecto del carácter reservado o confidencial de la información que obre en su poder. Para tal efecto los titulares de cada área ejercerán esta atribución respecto de la información que generen o se encuentre bajo su resguardo en razón de las funciones que desempeñen.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confidencial no perderá ese carácter sino por las causas y en los casos que determine la legislación especial en materia de protección de datos personales.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reservada tendrá ese carácter hasta por un período de cinco años, contados a partir de la fecha en que se emita la determinación correspondiente. El Comité de Transparencia del sujeto obligado podrá ampliar el período de reserva hasta por cinco años adicionales, lo que deberá realizarse mediante resolución fundada y motivada que comprenda la aplicación de una prueba de daño.</w:t>
      </w:r>
    </w:p>
    <w:p w:rsidR="00810F69" w:rsidRPr="002F23BF"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En los casos en que habiendo operado la prórroga de la reserva y se esté en los supuestos previstos en el último párrafo del </w:t>
      </w:r>
      <w:r w:rsidRPr="00C1004F">
        <w:rPr>
          <w:rFonts w:asciiTheme="minorHAnsi" w:eastAsia="Times New Roman" w:hAnsiTheme="minorHAnsi" w:cs="Arial"/>
          <w:i/>
          <w:sz w:val="24"/>
          <w:szCs w:val="24"/>
          <w:lang w:eastAsia="es-ES"/>
        </w:rPr>
        <w:t>artículo 101 de la Ley General, el Comité</w:t>
      </w:r>
      <w:r w:rsidRPr="0040486F">
        <w:rPr>
          <w:rFonts w:asciiTheme="minorHAnsi" w:eastAsia="Times New Roman" w:hAnsiTheme="minorHAnsi" w:cs="Arial"/>
          <w:i/>
          <w:sz w:val="24"/>
          <w:szCs w:val="24"/>
          <w:lang w:eastAsia="es-ES"/>
        </w:rPr>
        <w:t xml:space="preserve"> de Transparencia del sujeto obligado podrá solicitar al Organismo Garante, de manera fundada y motivada una nueva prórroga, con tres meses de anticipación al vencimiento del término de ampliación a la reserva, señalando el plazo que consideren operante, teniéndose obligación de justificar una nueva prueba de daño.</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 El Organismo Garante emitirá la determinación correspondiente apreciando los elementos que para tal efecto le sean aportados.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111.-</w:t>
      </w:r>
      <w:r w:rsidRPr="0040486F">
        <w:rPr>
          <w:rFonts w:asciiTheme="minorHAnsi" w:eastAsia="Times New Roman" w:hAnsiTheme="minorHAnsi" w:cs="Arial"/>
          <w:i/>
          <w:sz w:val="24"/>
          <w:szCs w:val="24"/>
          <w:lang w:eastAsia="es-ES"/>
        </w:rPr>
        <w:t xml:space="preserve"> La prueba de daño a que se refiere el artículo anterior tendrá como objetivo justificar que de divulgarse la información se generaría un riesgo real, demostrable e identificable de perjuicio significativo para el interés público; que el riesgo de entregar la información es mayor que las ventajas de su difusión y que la medida representa el medio menos restrictivo para evitar el perjuicio que se causaría con la entrega de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clasificación de reserva no podrá realizarse de manera general o colectiva, debiendo estar en todo caso referida a documentos existentes y analizados de manera particular.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112.-</w:t>
      </w:r>
      <w:r w:rsidRPr="0040486F">
        <w:rPr>
          <w:rFonts w:asciiTheme="minorHAnsi" w:eastAsia="Times New Roman" w:hAnsiTheme="minorHAnsi" w:cs="Arial"/>
          <w:i/>
          <w:sz w:val="24"/>
          <w:szCs w:val="24"/>
          <w:lang w:eastAsia="es-ES"/>
        </w:rPr>
        <w:t xml:space="preserve"> El acuerdo que establezca la reserva de la información podrá dictarse al momento en que se reciba una solicitud de información, cuando lo determine mediante resolución una autoridad competente o cuando se generen versiones públicas de los documentos, para dar cumplimiento a obligaciones de transparencia.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 caso, el acuerdo de reserva deberá:</w:t>
      </w:r>
    </w:p>
    <w:p w:rsidR="00810F69" w:rsidRPr="0040486F" w:rsidRDefault="00810F69" w:rsidP="00E00B0B">
      <w:pPr>
        <w:numPr>
          <w:ilvl w:val="0"/>
          <w:numId w:val="105"/>
        </w:numPr>
        <w:tabs>
          <w:tab w:val="left" w:pos="142"/>
          <w:tab w:val="left" w:pos="284"/>
          <w:tab w:val="left" w:pos="426"/>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Estar debidamente fundado y motivado;</w:t>
      </w:r>
    </w:p>
    <w:p w:rsidR="00810F69" w:rsidRPr="002F23BF" w:rsidRDefault="00810F69" w:rsidP="00E00B0B">
      <w:pPr>
        <w:numPr>
          <w:ilvl w:val="0"/>
          <w:numId w:val="105"/>
        </w:numPr>
        <w:tabs>
          <w:tab w:val="left" w:pos="142"/>
          <w:tab w:val="left" w:pos="284"/>
          <w:tab w:val="left" w:pos="426"/>
          <w:tab w:val="left" w:pos="851"/>
        </w:tabs>
        <w:spacing w:after="120" w:line="240" w:lineRule="auto"/>
        <w:ind w:left="284" w:hanging="284"/>
        <w:jc w:val="both"/>
        <w:rPr>
          <w:rFonts w:asciiTheme="minorHAnsi" w:eastAsia="Times New Roman" w:hAnsiTheme="minorHAnsi" w:cs="Arial"/>
          <w:i/>
          <w:sz w:val="24"/>
          <w:szCs w:val="24"/>
          <w:lang w:eastAsia="es-ES"/>
        </w:rPr>
      </w:pPr>
      <w:r w:rsidRPr="002F23BF">
        <w:rPr>
          <w:rFonts w:asciiTheme="minorHAnsi" w:eastAsia="Times New Roman" w:hAnsiTheme="minorHAnsi" w:cs="Arial"/>
          <w:i/>
          <w:sz w:val="24"/>
          <w:szCs w:val="24"/>
          <w:lang w:eastAsia="es-ES"/>
        </w:rPr>
        <w:t>Demostrar que la información encuadra en alguna de las hipótesis de reserva previstas en la presente Ley; y</w:t>
      </w:r>
    </w:p>
    <w:p w:rsidR="00810F69" w:rsidRPr="0040486F" w:rsidRDefault="00810F69" w:rsidP="00E00B0B">
      <w:pPr>
        <w:numPr>
          <w:ilvl w:val="0"/>
          <w:numId w:val="105"/>
        </w:numPr>
        <w:tabs>
          <w:tab w:val="left" w:pos="142"/>
          <w:tab w:val="left" w:pos="284"/>
          <w:tab w:val="left" w:pos="426"/>
          <w:tab w:val="left" w:pos="491"/>
        </w:tabs>
        <w:spacing w:after="120" w:line="240" w:lineRule="auto"/>
        <w:ind w:left="284" w:hanging="284"/>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Determinar que el daño que puede producirse con la liberación de la información es mayor que el interés público de conocerla.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No podrá invocarse el carácter de información reservada cuando se trate de la investigación de violaciones graves a los derechos humanos o delitos de lesa humanidad, así como cuando se trate de información relacionada con actos de corrupción de acuerdo con las leyes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113.-</w:t>
      </w:r>
      <w:r w:rsidRPr="0040486F">
        <w:rPr>
          <w:rFonts w:asciiTheme="minorHAnsi" w:eastAsia="Times New Roman" w:hAnsiTheme="minorHAnsi" w:cs="Arial"/>
          <w:i/>
          <w:sz w:val="24"/>
          <w:szCs w:val="24"/>
          <w:lang w:eastAsia="es-ES"/>
        </w:rPr>
        <w:t xml:space="preserve"> El acuerdo que clasifique información como reservada deberá indicar su fuente, la justificación, las partes de los documentos que se reservan, el plazo de reserva y la autoridad responsable de su conservación. Las partes de un expediente o documento que no sean expresamente reservadas, se considerarán de libre acceso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tendrá en todo momento acceso a la información que reserven los sujetos obligados para determinar su debida clasificación, desclasificación o procedencia de otorgar el acceso a la misma, debiendo invariablemente sustentar sus determinaciones en el principio de máxima publicidad.</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RESERVADA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114.-</w:t>
      </w:r>
      <w:r w:rsidRPr="0040486F">
        <w:rPr>
          <w:rFonts w:asciiTheme="minorHAnsi" w:eastAsia="Times New Roman" w:hAnsiTheme="minorHAnsi" w:cs="Arial"/>
          <w:i/>
          <w:sz w:val="24"/>
          <w:szCs w:val="24"/>
          <w:lang w:eastAsia="es-ES"/>
        </w:rPr>
        <w:t xml:space="preserve"> Se considerará información reservada aquella que se encuentre sustraída temporalmente del conocimiento público por determinación de los sujetos obligados, misma que podrá declararse en los casos y modalidades establecidas en el presente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115.-</w:t>
      </w:r>
      <w:r w:rsidRPr="0040486F">
        <w:rPr>
          <w:rFonts w:asciiTheme="minorHAnsi" w:eastAsia="Times New Roman" w:hAnsiTheme="minorHAnsi" w:cs="Arial"/>
          <w:i/>
          <w:sz w:val="24"/>
          <w:szCs w:val="24"/>
          <w:lang w:eastAsia="es-ES"/>
        </w:rPr>
        <w:t xml:space="preserve"> Los sujetos obligados calificarán la reserva de información a través de la aplicación de la prueba de daño en los términos que al </w:t>
      </w:r>
      <w:r w:rsidRPr="00C1004F">
        <w:rPr>
          <w:rFonts w:asciiTheme="minorHAnsi" w:eastAsia="Times New Roman" w:hAnsiTheme="minorHAnsi" w:cs="Arial"/>
          <w:i/>
          <w:sz w:val="24"/>
          <w:szCs w:val="24"/>
          <w:lang w:eastAsia="es-ES"/>
        </w:rPr>
        <w:t>efecto disponen la Ley General y esta Ley. La</w:t>
      </w:r>
      <w:r w:rsidRPr="0040486F">
        <w:rPr>
          <w:rFonts w:asciiTheme="minorHAnsi" w:eastAsia="Times New Roman" w:hAnsiTheme="minorHAnsi" w:cs="Arial"/>
          <w:i/>
          <w:sz w:val="24"/>
          <w:szCs w:val="24"/>
          <w:lang w:eastAsia="es-ES"/>
        </w:rPr>
        <w:t xml:space="preserve"> información reservada se sujetará al principio de excepcionalidad. El procedimiento para su determinación se llevará a cabo caso por caso.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116.-</w:t>
      </w:r>
      <w:r w:rsidRPr="0040486F">
        <w:rPr>
          <w:rFonts w:asciiTheme="minorHAnsi" w:eastAsia="Times New Roman" w:hAnsiTheme="minorHAnsi" w:cs="Arial"/>
          <w:i/>
          <w:sz w:val="24"/>
          <w:szCs w:val="24"/>
          <w:lang w:eastAsia="es-ES"/>
        </w:rPr>
        <w:t xml:space="preserve"> Los titulares de las áreas de los sujetos obligados podrán emitir lineamientos para clasificar como reservada información que se encuentre a su disposición con motivo del ejercicio de su cargo, o podrán ejercer dicha función por medio de las instancias que se determinen en los reglamentos o acuerdos administrativos que dicten. </w:t>
      </w:r>
    </w:p>
    <w:p w:rsidR="00810F69" w:rsidRPr="002F23BF"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En todo caso, el acuerdo correspondiente deberá fundar y </w:t>
      </w:r>
      <w:r w:rsidRPr="00C1004F">
        <w:rPr>
          <w:rFonts w:asciiTheme="minorHAnsi" w:eastAsia="Times New Roman" w:hAnsiTheme="minorHAnsi" w:cs="Arial"/>
          <w:i/>
          <w:sz w:val="24"/>
          <w:szCs w:val="24"/>
          <w:lang w:eastAsia="es-ES"/>
        </w:rPr>
        <w:t>motivar la reserva, a través de la aplicación de la prueba de daño a que se refiere el artículo 111 de esta ley</w:t>
      </w:r>
      <w:r w:rsidRPr="0040486F">
        <w:rPr>
          <w:rFonts w:asciiTheme="minorHAnsi" w:eastAsia="Times New Roman" w:hAnsiTheme="minorHAnsi" w:cs="Arial"/>
          <w:i/>
          <w:sz w:val="24"/>
          <w:szCs w:val="24"/>
          <w:lang w:eastAsia="es-ES"/>
        </w:rPr>
        <w:t>, cuando la publicación de la información actualice cualquiera de los siguientes supuestos:</w:t>
      </w:r>
      <w:r>
        <w:rPr>
          <w:rFonts w:asciiTheme="minorHAnsi" w:eastAsia="Times New Roman" w:hAnsiTheme="minorHAnsi" w:cs="Arial"/>
          <w:i/>
          <w:sz w:val="24"/>
          <w:szCs w:val="24"/>
          <w:lang w:eastAsia="es-ES"/>
        </w:rPr>
        <w:t xml:space="preserve"> </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Comprometa la seguridad pública y cuente con un propósito genuino y un efecto demostrable;</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Pueda poner en riesgo la vida, seguridad o salud de una persona física;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Obstruya las actividades de verificación, inspección y auditoría relativas al cumplimiento de las leyes o afecte la recaudación de contribuciones;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Obstruya la prevención o persecución de los delitos;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contenga las opiniones, recomendaciones o puntos de vista que formen parte del proceso deliberativo de los servidores públicos, hasta en tanto no sea adoptada la decisión definitiva, la cual deberá estar documentada;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Obstruya los procedimientos para fincar responsabilidad a los servidores públicos, en tanto no se haya dictado la resolución administrativa;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Afecte los derechos del debido proceso;</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Vulnere la conducción de los expedientes judiciales o de los procedimientos administrativos seguidos en forma de juicio, en tanto no hayan causado estado;</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refiera a servidores públicos que laboren o hayan laborado en el ámbito de la seguridad pública, procuración e impartición de justicia, que por su publicación pudiera poner en peligro su vida, la de otros servidores públicos o de terceros;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encuentre contenida dentro de las investigaciones de hechos que la ley señale como delitos y se tramiten ante el Ministerio Público; y</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 por disposición expresa de una ley tengan tal carácter, siempre que sean acordes con las bases, principios y disposiciones establecidos en esta Ley y no la contravengan, así como las previstas en tratados internacionales.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117.-</w:t>
      </w:r>
      <w:r w:rsidRPr="0040486F">
        <w:rPr>
          <w:rFonts w:asciiTheme="minorHAnsi" w:eastAsia="Times New Roman" w:hAnsiTheme="minorHAnsi" w:cs="Arial"/>
          <w:i/>
          <w:sz w:val="24"/>
          <w:szCs w:val="24"/>
          <w:lang w:eastAsia="es-ES"/>
        </w:rPr>
        <w:t xml:space="preserve"> Toda la información deberá ser puesta a disposición de los particulares cuando se extingan las causas que dieron origen a su clasificación o cuando hubiera transcurrido el período de reserva, el cual deberá contabilizarse desde la fecha en que se emita el acuerdo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118.-</w:t>
      </w:r>
      <w:r w:rsidRPr="0040486F">
        <w:rPr>
          <w:rFonts w:asciiTheme="minorHAnsi" w:eastAsia="Times New Roman" w:hAnsiTheme="minorHAnsi" w:cs="Arial"/>
          <w:i/>
          <w:sz w:val="24"/>
          <w:szCs w:val="24"/>
          <w:lang w:eastAsia="es-ES"/>
        </w:rPr>
        <w:t xml:space="preserve"> Los sujetos obligados dispondrán lo necesario a efecto de que los documentos que contengan información confidencial o reservada sean debidamente custodiados y conservados, debiendo observar al respecto el contenido de los lineamientos que expida el Sistema Nacional de Transparencia. Similar disposición operará respecto del procedimiento de clasificación y la elaboración de versiones públicas.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regla general, cuando se soliciten documentos que contengan partes o secciones reservadas, los sujetos obligados deberán elaborar versiones públicas y sin que esta disposición comprenda la información que esté considerada como de publicación obligatoria.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119.-</w:t>
      </w:r>
      <w:r w:rsidRPr="0040486F">
        <w:rPr>
          <w:rFonts w:asciiTheme="minorHAnsi" w:eastAsia="Times New Roman" w:hAnsiTheme="minorHAnsi" w:cs="Arial"/>
          <w:i/>
          <w:sz w:val="24"/>
          <w:szCs w:val="24"/>
          <w:lang w:eastAsia="es-ES"/>
        </w:rPr>
        <w:t xml:space="preserve"> Las dependencias o áreas de los sujetos obligados deberán elaborar y hacer público un índice de documentos reservados, el cual será actualizado semestralmente, contendrá como mínimo los siguientes datos:</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Área que genera o tiene a su disposición la información;</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del documento reservado;</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mención respecto de si la reserva es total o parcial;</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Fecha de inicio y término de la reserva;</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justificación o motivo de la reserva;</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plazo de reserva; </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partes del documento que se reservan; y</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se determinó la prórroga de la reserva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 igual manera deberán colocar en los documentos reservados, una leyenda que indique ese carácter, la fecha de clasificación, el fundamento legal y el período en que opera la reserva.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120.-</w:t>
      </w:r>
      <w:r w:rsidRPr="0040486F">
        <w:rPr>
          <w:rFonts w:asciiTheme="minorHAnsi" w:eastAsia="Times New Roman" w:hAnsiTheme="minorHAnsi" w:cs="Arial"/>
          <w:i/>
          <w:sz w:val="24"/>
          <w:szCs w:val="24"/>
          <w:lang w:eastAsia="es-ES"/>
        </w:rPr>
        <w:t xml:space="preserve"> Cuando alguna persona solicite a los sujetos obligados información que hubiera sido declarada como reservad</w:t>
      </w:r>
      <w:r>
        <w:rPr>
          <w:rFonts w:asciiTheme="minorHAnsi" w:eastAsia="Times New Roman" w:hAnsiTheme="minorHAnsi" w:cs="Arial"/>
          <w:i/>
          <w:sz w:val="24"/>
          <w:szCs w:val="24"/>
          <w:lang w:eastAsia="es-ES"/>
        </w:rPr>
        <w:t>a</w:t>
      </w:r>
      <w:r w:rsidRPr="0040486F">
        <w:rPr>
          <w:rFonts w:asciiTheme="minorHAnsi" w:eastAsia="Times New Roman" w:hAnsiTheme="minorHAnsi" w:cs="Arial"/>
          <w:i/>
          <w:sz w:val="24"/>
          <w:szCs w:val="24"/>
          <w:lang w:eastAsia="es-ES"/>
        </w:rPr>
        <w:t>, el Comité de Transparencia deberá resolver sobre la procedencia de la solicitud confirmando, modificando o revocando la clasificación.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121.-</w:t>
      </w:r>
      <w:r w:rsidRPr="0040486F">
        <w:rPr>
          <w:rFonts w:asciiTheme="minorHAnsi" w:eastAsia="Times New Roman" w:hAnsiTheme="minorHAnsi" w:cs="Arial"/>
          <w:i/>
          <w:sz w:val="24"/>
          <w:szCs w:val="24"/>
          <w:lang w:eastAsia="es-ES"/>
        </w:rPr>
        <w:t xml:space="preserve"> La clasificación de reservada que se otorgue a determinada información, perderá su vigencia y pasará a considerarse información pública en los siguientes supuestos:</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extingan las causas que motivaron su clasificación;</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expire el plazo de clasificación;</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determinación del Comité de Transparencia, y</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resolución de autoridad competente.</w:t>
      </w:r>
    </w:p>
    <w:p w:rsidR="00810F69" w:rsidRPr="0040486F" w:rsidRDefault="00810F69" w:rsidP="00810F69">
      <w:pPr>
        <w:spacing w:after="120" w:line="240" w:lineRule="auto"/>
        <w:ind w:left="-142"/>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CONFIDENCIAL</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122.-</w:t>
      </w:r>
      <w:r w:rsidRPr="0040486F">
        <w:rPr>
          <w:rFonts w:asciiTheme="minorHAnsi" w:eastAsia="Times New Roman" w:hAnsiTheme="minorHAnsi" w:cs="Arial"/>
          <w:i/>
          <w:sz w:val="24"/>
          <w:szCs w:val="24"/>
          <w:lang w:eastAsia="es-ES"/>
        </w:rPr>
        <w:t xml:space="preserve"> Se considera información confidencial la que contiene datos personales concernientes a una persona física identificada o identificable. Esta información mantendrá este carácter de manera indefinida y sólo podrán tener acceso a ella los titulares de la misma sus representantes y los servidores públicos que requieran conocerla para el debido ejercicio de sus funciones.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123.-</w:t>
      </w:r>
      <w:r w:rsidRPr="0040486F">
        <w:rPr>
          <w:rFonts w:asciiTheme="minorHAnsi" w:eastAsia="Times New Roman" w:hAnsiTheme="minorHAnsi" w:cs="Arial"/>
          <w:i/>
          <w:sz w:val="24"/>
          <w:szCs w:val="24"/>
          <w:lang w:eastAsia="es-ES"/>
        </w:rPr>
        <w:t xml:space="preserve"> Además de la que se menciona en el artículo que antecede, para los efectos de la presente Ley se considera información confidencial la referida a personas ajenas a los sujetos obligados que se encuentre en los siguientes supuestos:</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protegida por los secretos comercial, industrial, bancario, fiduciario, fiscal y profesional;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protegida por la legislación en materia de derechos de autor o propiedad intelectual;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Aquella que los particulares entreguen a los sujetos obligados con ese carácter, en términos de la presente Ley; y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otra que así resulte por disposición de la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disposiciones de este artículo no podrán hacerse valer por los sujetos obligados, cuando se constituyan como fideicomitentes, fideicomisarios o fiduciarios en fideicomisos que involucren recursos públicos, en cuyo caso la clasificación de información deberá ajustarse a las demás causales genéricas previstas en la presente Ley.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que se constituyan como usuarios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sujetos obligados que se constituyan como contribuyentes o como autoridades en materia tributaria, no podrán clasificar la información relativa al ejercicio de recursos públicos como secreto fiscal.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124.-</w:t>
      </w:r>
      <w:r w:rsidRPr="0040486F">
        <w:rPr>
          <w:rFonts w:asciiTheme="minorHAnsi" w:eastAsia="Times New Roman" w:hAnsiTheme="minorHAnsi" w:cs="Arial"/>
          <w:i/>
          <w:sz w:val="24"/>
          <w:szCs w:val="24"/>
          <w:lang w:eastAsia="es-ES"/>
        </w:rPr>
        <w:t xml:space="preserve"> El manejo de la información clasificada como confidencial se sujetará a las disposiciones de la Ley de Protección de Datos Personales del Estado de Colima, y el acceso a la misma solamente podrá realizarse con el consentimiento de su titular. </w:t>
      </w:r>
    </w:p>
    <w:p w:rsidR="00810F69" w:rsidRPr="00424CA0"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Conforme se consigna </w:t>
      </w:r>
      <w:r w:rsidRPr="00C1004F">
        <w:rPr>
          <w:rFonts w:asciiTheme="minorHAnsi" w:eastAsia="Times New Roman" w:hAnsiTheme="minorHAnsi" w:cs="Arial"/>
          <w:i/>
          <w:sz w:val="24"/>
          <w:szCs w:val="24"/>
          <w:lang w:eastAsia="es-ES"/>
        </w:rPr>
        <w:t>en el artículo 120 de la Ley General, no</w:t>
      </w:r>
      <w:r w:rsidRPr="0040486F">
        <w:rPr>
          <w:rFonts w:asciiTheme="minorHAnsi" w:eastAsia="Times New Roman" w:hAnsiTheme="minorHAnsi" w:cs="Arial"/>
          <w:i/>
          <w:sz w:val="24"/>
          <w:szCs w:val="24"/>
          <w:lang w:eastAsia="es-ES"/>
        </w:rPr>
        <w:t xml:space="preserve"> será necesario dicho consentimiento, cuando:</w:t>
      </w:r>
      <w:r>
        <w:rPr>
          <w:rFonts w:asciiTheme="minorHAnsi" w:eastAsia="Times New Roman" w:hAnsiTheme="minorHAnsi" w:cs="Arial"/>
          <w:i/>
          <w:sz w:val="24"/>
          <w:szCs w:val="24"/>
          <w:lang w:eastAsia="es-ES"/>
        </w:rPr>
        <w:t xml:space="preserve"> </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se encuentre en registros públicos o fuentes de acceso público;</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ley tenga el carácter de pública;</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Exista una orden judicial;</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proteger los derechos de terceros, se requiera su publicación; o</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de la fracción IV del presente artículo, el Organismo Garante deberá aplicar la prueba de interés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Además, se deberá corroborar una conexión patente entre la información confidencial,  un tema de interés público y la proporcionalidad entre la invasión a la intimidad ocasionada por la divulgación de la información confidencial.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125.-</w:t>
      </w:r>
      <w:r w:rsidRPr="0040486F">
        <w:rPr>
          <w:rFonts w:asciiTheme="minorHAnsi" w:eastAsia="Times New Roman" w:hAnsiTheme="minorHAnsi" w:cs="Arial"/>
          <w:i/>
          <w:sz w:val="24"/>
          <w:szCs w:val="24"/>
          <w:lang w:eastAsia="es-ES"/>
        </w:rPr>
        <w:t xml:space="preserve"> Los particulares podrán entregar a las dependencias y entidades con carácter de confidencial la siguiente información:</w:t>
      </w:r>
    </w:p>
    <w:p w:rsidR="00810F69" w:rsidRPr="0040486F" w:rsidRDefault="00810F69" w:rsidP="00E00B0B">
      <w:pPr>
        <w:numPr>
          <w:ilvl w:val="0"/>
          <w:numId w:val="78"/>
        </w:numPr>
        <w:tabs>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relativa al patrimonio de una persona o que pudiera devenir en una afectación al mismo; y</w:t>
      </w:r>
    </w:p>
    <w:p w:rsidR="00810F69" w:rsidRPr="0040486F" w:rsidRDefault="00810F69" w:rsidP="00E00B0B">
      <w:pPr>
        <w:numPr>
          <w:ilvl w:val="0"/>
          <w:numId w:val="78"/>
        </w:numPr>
        <w:tabs>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comprenda hechos y actos de carácter económico, contable, jurídico o administrativo relativos a una persona física o moral, que pudiera ser útil para un competidor; como la relativa a detalles sobre el manejo del negocio del titular, sobre su proceso de toma de decisiones, información que pudiera afectar sus negociaciones, acuerdos de los órganos de administración, políticas de dividendos y sus modificaciones o actas de asamblea, innovaciones tecnológicas o proyectos futuros.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los casos en que se presente una solicitud de acceso a información confidencial, los sujetos obligados la proporcionarán siempre y cuando medie el consentimiento expreso e indubitable del titular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126.-</w:t>
      </w:r>
      <w:r w:rsidRPr="0040486F">
        <w:rPr>
          <w:rFonts w:asciiTheme="minorHAnsi" w:eastAsia="Times New Roman" w:hAnsiTheme="minorHAnsi" w:cs="Arial"/>
          <w:i/>
          <w:sz w:val="24"/>
          <w:szCs w:val="24"/>
          <w:lang w:eastAsia="es-ES"/>
        </w:rPr>
        <w:t xml:space="preserve"> No se considerará información confidencial:</w:t>
      </w:r>
    </w:p>
    <w:p w:rsidR="00810F69" w:rsidRPr="0040486F" w:rsidRDefault="00810F69" w:rsidP="00E00B0B">
      <w:pPr>
        <w:numPr>
          <w:ilvl w:val="0"/>
          <w:numId w:val="7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por disposición de una ley se encuentre en registros públicos o fuentes de acceso público, en cuyo caso se hará saber al solicitante la fuente, el lugar y la forma en que puede consultar esta información; y</w:t>
      </w:r>
    </w:p>
    <w:p w:rsidR="00810F69" w:rsidRPr="0040486F" w:rsidRDefault="00810F69" w:rsidP="00E00B0B">
      <w:pPr>
        <w:numPr>
          <w:ilvl w:val="0"/>
          <w:numId w:val="7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Aquella que por ley tenga el carácter de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127.-</w:t>
      </w:r>
      <w:r w:rsidRPr="0040486F">
        <w:rPr>
          <w:rFonts w:asciiTheme="minorHAnsi" w:eastAsia="Times New Roman" w:hAnsiTheme="minorHAnsi" w:cs="Arial"/>
          <w:i/>
          <w:sz w:val="24"/>
          <w:szCs w:val="24"/>
          <w:lang w:eastAsia="es-ES"/>
        </w:rPr>
        <w:t xml:space="preserve"> La información a que se refieren los artículos 123 y 125 de esta Ley podrá divulgarse cuando se compruebe, a juicio del Organismo Garante, que existen razones de interés público relacionadas con los objetivos de este ordenamiento debidamente acreditadas. Para este efecto, podrá mediar petición del recurrente quien aportará los elementos de prueba necesarios o bien el Organismo Garante podrá investigarlo y, en su caso, resolver de oficio.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Invariablemente, durante el procedimiento que al efecto se instaure, deberá respetarse la garantía de audiencia de los titulares de la información confidencial y realizarse una valoración de los intereses en conflicto que permita razonablemente asegurar que los beneficios sociales de divulgar la información serán mayores a los perjuicios. En la valoración que se haga al respecto, se ponderará si la información fue entregada de manera voluntaria u obligatoria por los particulares.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SEXTO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ACCESO A LA INFORMACIÓN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PROCEDIMIENTO DE ACCESO A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128.-</w:t>
      </w:r>
      <w:r w:rsidRPr="0040486F">
        <w:rPr>
          <w:rFonts w:asciiTheme="minorHAnsi" w:eastAsia="Times New Roman" w:hAnsiTheme="minorHAnsi" w:cs="Arial"/>
          <w:i/>
          <w:sz w:val="24"/>
          <w:szCs w:val="24"/>
          <w:lang w:eastAsia="es-ES"/>
        </w:rPr>
        <w:t xml:space="preserve"> Las personas ejercerán su derecho de acceso a la información pública ante los sujetos obligados que la posean.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facilitar el ejercicio de este derecho, los sujetos obligados deberán establecer sus Unidades de transparencia y difundir su conformación, ubicación y los requisitos necesarios para la obtención de información pública que tengan en su poder, los que deberán ser acordes a los contemplados por este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129.-</w:t>
      </w:r>
      <w:r w:rsidRPr="0040486F">
        <w:rPr>
          <w:rFonts w:asciiTheme="minorHAnsi" w:eastAsia="Times New Roman" w:hAnsiTheme="minorHAnsi" w:cs="Arial"/>
          <w:i/>
          <w:sz w:val="24"/>
          <w:szCs w:val="24"/>
          <w:lang w:eastAsia="es-ES"/>
        </w:rPr>
        <w:t xml:space="preserve"> Los procedimientos para obtener información pública de cualquiera de los sujetos obligados se regirán por los siguientes principios:</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Máxima publicidad;</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Simplicidad y rapidez;</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Gratuidad del procedimiento;</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Costo razonable de reproducción de la información;</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Suplencia de las deficiencias de las solicitudes; y</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Auxilio y orientación a los particulares.</w:t>
      </w:r>
    </w:p>
    <w:p w:rsidR="00810F69" w:rsidRPr="00F32AF6" w:rsidRDefault="00810F69" w:rsidP="00810F69">
      <w:pPr>
        <w:spacing w:after="0" w:line="240" w:lineRule="auto"/>
        <w:ind w:left="-142"/>
        <w:jc w:val="both"/>
      </w:pPr>
      <w:r w:rsidRPr="00F32AF6">
        <w:t>(FE DE ERRATAS, P.O. 38, 29 JUNIO 2016)</w:t>
      </w:r>
    </w:p>
    <w:p w:rsidR="00810F69" w:rsidRDefault="00810F69" w:rsidP="00810F69">
      <w:pPr>
        <w:spacing w:after="0" w:line="240" w:lineRule="auto"/>
        <w:ind w:left="-142"/>
        <w:jc w:val="both"/>
      </w:pPr>
      <w:r w:rsidRPr="00F32AF6">
        <w:rPr>
          <w:b/>
        </w:rPr>
        <w:t>Artículo 130.-</w:t>
      </w:r>
      <w:r>
        <w:t xml:space="preserve"> Toda persona por sí, o por medio de representante, podrá presentar una solicitud de acceso a la información. </w:t>
      </w:r>
    </w:p>
    <w:p w:rsidR="00810F69" w:rsidRDefault="00810F69" w:rsidP="00810F69">
      <w:pPr>
        <w:spacing w:after="120" w:line="240" w:lineRule="auto"/>
        <w:ind w:left="-142"/>
        <w:jc w:val="both"/>
      </w:pPr>
      <w:r>
        <w:lastRenderedPageBreak/>
        <w:t xml:space="preserve">En ningún caso la entrega de la información estará condicionada a que se motive o justifique la causa de la solicitud, ni se requerirá que el solicitante demuestre interés jurídico alguno. </w:t>
      </w:r>
    </w:p>
    <w:p w:rsidR="00810F69" w:rsidRDefault="00810F69" w:rsidP="00810F69">
      <w:pPr>
        <w:spacing w:after="120" w:line="240" w:lineRule="auto"/>
        <w:ind w:left="-142"/>
        <w:jc w:val="both"/>
        <w:rPr>
          <w:rFonts w:asciiTheme="minorHAnsi" w:eastAsia="Times New Roman" w:hAnsiTheme="minorHAnsi" w:cs="Arial"/>
          <w:b/>
          <w:i/>
          <w:sz w:val="24"/>
          <w:szCs w:val="24"/>
          <w:lang w:eastAsia="es-ES"/>
        </w:rPr>
      </w:pPr>
      <w:r>
        <w:t>Lo que se hace constar para su publicación a manera de Fe de erratas y surta sus efectos legales correspondientes y su debida observancia en los términos probados por el Honorable Congreso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131.- </w:t>
      </w:r>
      <w:r w:rsidRPr="0040486F">
        <w:rPr>
          <w:rFonts w:asciiTheme="minorHAnsi" w:eastAsia="Times New Roman" w:hAnsiTheme="minorHAnsi" w:cs="Arial"/>
          <w:i/>
          <w:sz w:val="24"/>
          <w:szCs w:val="24"/>
          <w:lang w:eastAsia="es-ES"/>
        </w:rPr>
        <w:t xml:space="preserve">La solicitud de acceso a la información podrá presentarse a través de los siguientes medios: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Plataforma Nacional;</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medio electrónico habilitado;</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Correo postal, mensajería, telégrafo;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Verbalmente;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escrito; y</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través de cualquier medio aprobado por el Sistema Nacional.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Unidades de Transparencia de los sujetos obligados deberán prestar a los particulares la asesoría necesaria para que presenten sus solicitudes de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apoyo del ejercicio de este derecho, los sujetos obligados deberán realizar las siguientes acciones:</w:t>
      </w: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solicitudes presentadas de manera verbal la Unidad de Transparencia llenará un formato para proceder a su localización; de encontrarse disponible en ese momento, luego de verificar que no se trate de información clasificada como reservada o confidencial, la pondrá a disposición del solicitante para que se imponga de la misma o, en su caso, le proporcionará de manera directa la información de su interés. Cuando no sea posible la inmediata localización de lo solicitado, entregará al interesado copia con acuse de recibo del formato que hubiera llenado, para darle el trámite que corresponde a una solicitud presentada por escrito;</w:t>
      </w:r>
    </w:p>
    <w:p w:rsidR="00810F69" w:rsidRPr="0040486F" w:rsidRDefault="00810F69" w:rsidP="00810F69">
      <w:pPr>
        <w:spacing w:after="120" w:line="240" w:lineRule="auto"/>
        <w:ind w:left="709" w:hanging="709"/>
        <w:jc w:val="both"/>
        <w:rPr>
          <w:rFonts w:asciiTheme="minorHAnsi" w:eastAsia="Times New Roman" w:hAnsiTheme="minorHAnsi" w:cs="Arial"/>
          <w:i/>
          <w:sz w:val="24"/>
          <w:szCs w:val="24"/>
          <w:lang w:eastAsia="es-ES"/>
        </w:rPr>
      </w:pP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la solicitud se presente por escrito, éste deberá satisfacer los requisitos previstos en el presente ordenamiento, y los sujetos obligados darán respuesta a las mismas en el plazo previsto por el artículo 135 de esta Ley; y</w:t>
      </w: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solicitudes presentadas por medio electrónico deberán reunir los requisitos que se señalen en los sitios habilitados para tales fines, sin que aquéllos puedan exceder de los señalados para las solicitudes que se presenten por escrito. El uso de los medios electrónicos implica la aceptación de los usuarios al contenido de las reglas y condiciones propias de éstos.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totalidad de los casos, los sujetos obligados deberán registrar en la Plataforma Nacional de Transparencia, las solicitudes de información que les sean formuladas por medio distinto a esta, remitiendo al solicitante el acuse de recibo que se genere, en el que se indicará la fecha de recepción, el folio que le hubiera sido asignado y los plazos de respuesta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132.-</w:t>
      </w:r>
      <w:r w:rsidRPr="0040486F">
        <w:rPr>
          <w:rFonts w:asciiTheme="minorHAnsi" w:eastAsia="Times New Roman" w:hAnsiTheme="minorHAnsi" w:cs="Arial"/>
          <w:i/>
          <w:sz w:val="24"/>
          <w:szCs w:val="24"/>
          <w:lang w:eastAsia="es-ES"/>
        </w:rPr>
        <w:t xml:space="preserve"> Las solicitudes que por escrito se presenten, deberán contener los siguientes requisitos:</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o, en su caso, los datos generales de su representante;</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Domicilio o medio para recibir notificaciones;</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descripción de la información solicitada;</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otro dato que facilite su búsqueda y eventual localización; y</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el solicitante señalará el formato accesible o la lengua indígena en la que se requiera la información de acuerdo a lo señalado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 las fracciones I y IV será proporcionada por el solicitante de manera opcional y, en ningún caso, podrá ser un requisito indispensable para la procedencia de la solicitud. Para el caso de que el solicitante no señale domicilio o medio para oír notificaciones, éstas se realizarán por lista que se publique en los estrados de la Unidad de Transparencia del sujeto obligado al que se formule la petición.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133.-</w:t>
      </w:r>
      <w:r w:rsidRPr="0040486F">
        <w:rPr>
          <w:rFonts w:asciiTheme="minorHAnsi" w:eastAsia="Times New Roman" w:hAnsiTheme="minorHAnsi" w:cs="Arial"/>
          <w:i/>
          <w:sz w:val="24"/>
          <w:szCs w:val="24"/>
          <w:lang w:eastAsia="es-ES"/>
        </w:rPr>
        <w:t xml:space="preserve"> Si la información no se encuentra en poder del sujeto obligado ante el cual se presentó la solicitud, por tratarse de asuntos que no inciden en su ámbito de competencia, éste deberá comunicarlo al interesado dentro de los tres días posteriores a la recepción de su petición y orientarlo sobre la autoridad que, a su juicio, pueda tenerla. En los supuestos a que se refiere el presente artículo, resultando evidente la incompetencia del sujeto obligado para generar, recopilar, administrar o poseer la información que se le solicite, no se hará necesaria la participación del Comité de Transparencia, en el proceso de atención de las solicitudes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134.-</w:t>
      </w:r>
      <w:r w:rsidRPr="0040486F">
        <w:rPr>
          <w:rFonts w:asciiTheme="minorHAnsi" w:eastAsia="Times New Roman" w:hAnsiTheme="minorHAnsi" w:cs="Arial"/>
          <w:i/>
          <w:sz w:val="24"/>
          <w:szCs w:val="24"/>
          <w:lang w:eastAsia="es-ES"/>
        </w:rPr>
        <w:t xml:space="preserve"> Si la solicitud no contiene todos los datos requeridos, fuere oscura o irregular, dentro de los tres días siguientes se prevendrá al solicitante para que en un plazo de diez días la complemente o aclare. En tanto no se realicen las aclaraciones correspondientes, no correrá el término para que el sujeto obligado emita su contestación. En caso de no cumplir el particular con la prevención que le fuera formulada en el término aquí establecido, será desechada su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requerimientos parciales no desahogados, se tendrá por presentada la solicitud por lo que respecta a los contenidos de información que no formaron parte del requerimiento.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135.-</w:t>
      </w:r>
      <w:r w:rsidRPr="0040486F">
        <w:rPr>
          <w:rFonts w:asciiTheme="minorHAnsi" w:eastAsia="Times New Roman" w:hAnsiTheme="minorHAnsi" w:cs="Arial"/>
          <w:i/>
          <w:sz w:val="24"/>
          <w:szCs w:val="24"/>
          <w:lang w:eastAsia="es-ES"/>
        </w:rPr>
        <w:t xml:space="preserve"> Toda solicitud de información presentada en los términos de esta Ley, deberá ser resuelta en un plazo no mayor de ocho días hábiles. De manera excepcional, este plazo podrá prorrogarse por un período igual cuando no sea posible reunir la información solicitada en dicho término. La Unidad de Transparencia deberá comunicar al solicitante, antes del vencimiento del plazo, las razones por las cuales hará uso de la prórroga. No podrán invocarse como causales de ampliación del plazo motivos que supongan negligencia o descuido del sujeto obligado en el desahogo de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acceso se dará en la modalidad de entrega y, en su caso, de envío elegidos por el solicitante. Cuando la información no pueda entregarse o enviarse en la modalidad elegida, el sujeto obligado deberá ofrecer otra u otras modalidades de entrega.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cualquier caso, se deberá fundar y motivar la necesidad de ofrecer otras modalidades.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136.-</w:t>
      </w:r>
      <w:r w:rsidRPr="0040486F">
        <w:rPr>
          <w:rFonts w:asciiTheme="minorHAnsi" w:eastAsia="Times New Roman" w:hAnsiTheme="minorHAnsi" w:cs="Arial"/>
          <w:i/>
          <w:sz w:val="24"/>
          <w:szCs w:val="24"/>
          <w:lang w:eastAsia="es-ES"/>
        </w:rPr>
        <w:t xml:space="preserve"> Las solicitudes de acceso a la información serán gratuitas, tampoco se cobrarán las actividades que deba realizar el sujeto obligado para procurar la búsqueda y localización de la información que le fuera solicitada. Los costos de la reproducción de la información solicitada deberán ser cobrados al particular de manera previa a su entrega y se calcularán atendiendo a los siguientes factores:</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costo de los materiales utilizados para la reproducción de la información;</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costo de su envío; y</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certificación de documentos, cuando proceda.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deberá ser entregada sin costo alguno cuando ello signifique la entrega de no más de veinte hojas simples y, en todo caso, los titulares de la Unidad de Transparencia podrán exceptuar el pago de reproducción y envío, atendiendo a las condiciones socioeconómicas del solicitante y a las condiciones presupuestarias particulares.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anteriores disposiciones no comprenderán la información que se encuentre en archivos o fuentes de acceso público, reguladas de manera específica y para las cuales se hubiera señalado de manera expresa un costo por la expedición de copias certificadas y constancias, que se encuentre previsto en las leyes fiscales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137.-</w:t>
      </w:r>
      <w:r w:rsidRPr="0040486F">
        <w:rPr>
          <w:rFonts w:asciiTheme="minorHAnsi" w:eastAsia="Times New Roman" w:hAnsiTheme="minorHAnsi" w:cs="Arial"/>
          <w:i/>
          <w:sz w:val="24"/>
          <w:szCs w:val="24"/>
          <w:lang w:eastAsia="es-ES"/>
        </w:rPr>
        <w:t xml:space="preserve"> La certificación de documentos que deban ser entregados con motivo de una solicitud de información tiene por objeto establecer que en los archivos del sujeto obligado existe un documento igual al que se entrega. La certificación para estos efectos podrá ser realizada por el funcionario que tenga conferida dicha atribución o, en su defecto, por el titular de la Unidad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138.-</w:t>
      </w:r>
      <w:r w:rsidRPr="0040486F">
        <w:rPr>
          <w:rFonts w:asciiTheme="minorHAnsi" w:eastAsia="Times New Roman" w:hAnsiTheme="minorHAnsi" w:cs="Arial"/>
          <w:i/>
          <w:sz w:val="24"/>
          <w:szCs w:val="24"/>
          <w:lang w:eastAsia="es-ES"/>
        </w:rPr>
        <w:t xml:space="preserve"> En los casos en que resulte procedente el cobro de los costos que genere la reproducción de la información, la Unidad de Transparencia lo comunicará al solicitante, quien a partir de la notificación tendrá un plazo de treinta días  para realizar el pago correspondiente  y, en caso de no hacerlo, deberán formular una nueva solicitud de información sin responsabilidad para el sujeto obligado.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Una vez acreditado el pago de los derechos correspondientes, la información deberá entregarse dentro de los ocho días hábiles siguientes a la fecha en que el sujeto obligado hubiera sido puesto en conocimiento de dicha circunstancia.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139.-</w:t>
      </w:r>
      <w:r w:rsidRPr="0040486F">
        <w:rPr>
          <w:rFonts w:asciiTheme="minorHAnsi" w:eastAsia="Times New Roman" w:hAnsiTheme="minorHAnsi" w:cs="Arial"/>
          <w:i/>
          <w:sz w:val="24"/>
          <w:szCs w:val="24"/>
          <w:lang w:eastAsia="es-ES"/>
        </w:rPr>
        <w:t xml:space="preserve"> La obligación de dar acceso a la información se tendrá por cumplida cuando se proporcione al solicitante de manera verbal, en medios electrónicos, se ponga a su disposición para consulta en el sitio en que se encuentra, o bien mediante la entrega de copias simples o certificadas.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acceso a la información se dará solamente en la forma en que lo permita el documento o medio en que se contenga.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que la información ya esté disponible en Internet, dicha circunstancia se hará del conocimiento del solicitante, precisando la dirección electrónica completa del sitio donde se encuentra; alternativamente podrá proporcionarse una impresión de la misma.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caso de que la información solicitada ya se encuentre disponible al público en medios impresos, tales como libros, compendios, informes, trípticos o en cualquier otro, se le hará saber al solicitante la fuente, el lugar y la forma en que la puede consultar, reproducir o adquirir.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140.-</w:t>
      </w:r>
      <w:r w:rsidRPr="0040486F">
        <w:rPr>
          <w:rFonts w:asciiTheme="minorHAnsi" w:eastAsia="Times New Roman" w:hAnsiTheme="minorHAnsi" w:cs="Arial"/>
          <w:i/>
          <w:sz w:val="24"/>
          <w:szCs w:val="24"/>
          <w:lang w:eastAsia="es-ES"/>
        </w:rPr>
        <w:t xml:space="preserve"> Cuando la solicitud tenga por objeto información considerada como pública de oficio, ésta deberá ser entregada en un plazo no mayor a cinco días hábiles.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141.-</w:t>
      </w:r>
      <w:r w:rsidRPr="0040486F">
        <w:rPr>
          <w:rFonts w:asciiTheme="minorHAnsi" w:eastAsia="Times New Roman" w:hAnsiTheme="minorHAnsi" w:cs="Arial"/>
          <w:i/>
          <w:sz w:val="24"/>
          <w:szCs w:val="24"/>
          <w:lang w:eastAsia="es-ES"/>
        </w:rPr>
        <w:t xml:space="preserve"> Cuando el sujeto obligado no entregue la respuesta a la solicitud dentro de los plazos previstos en esta Ley, la solicitud se entenderá negada y el solicitante podrá interponer de inmediato el recurso previsto en el presente ordenamiento. La falta de respuesta a una solicitud en el plazo previsto y en caso de que proceda el acceso será motivo de que los costos de reproducción y envío sean a cargo del sujeto obligado.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142.-</w:t>
      </w:r>
      <w:r w:rsidRPr="0040486F">
        <w:rPr>
          <w:rFonts w:asciiTheme="minorHAnsi" w:eastAsia="Times New Roman" w:hAnsiTheme="minorHAnsi" w:cs="Arial"/>
          <w:i/>
          <w:sz w:val="24"/>
          <w:szCs w:val="24"/>
          <w:lang w:eastAsia="es-ES"/>
        </w:rPr>
        <w:t xml:space="preserve"> Las solicitudes de acceso y las respuestas que se les dé, incluyendo, en su caso, la información entregada, serán públicas y no podrán en ningún caso considerarse como información reservada.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143.-</w:t>
      </w:r>
      <w:r w:rsidRPr="0040486F">
        <w:rPr>
          <w:rFonts w:asciiTheme="minorHAnsi" w:eastAsia="Times New Roman" w:hAnsiTheme="minorHAnsi" w:cs="Arial"/>
          <w:i/>
          <w:sz w:val="24"/>
          <w:szCs w:val="24"/>
          <w:lang w:eastAsia="es-ES"/>
        </w:rPr>
        <w:t xml:space="preserve"> Cuando lo solicitado corresponda a información que sea posible obtener mediante un trámite previamente establecido y previsto en una norma,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Cuando las Unidades de Transparencia determinen la notoria incompetencia por parte de los sujetos obligados para atender la solicitud de acceso a la información, deberán comunicarlo al solicitante, dentro de los tres días posteriores a la recepción de la solicitud.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144.-</w:t>
      </w:r>
      <w:r w:rsidRPr="0040486F">
        <w:rPr>
          <w:rFonts w:asciiTheme="minorHAnsi" w:eastAsia="Times New Roman" w:hAnsiTheme="minorHAnsi" w:cs="Arial"/>
          <w:i/>
          <w:sz w:val="24"/>
          <w:szCs w:val="24"/>
          <w:lang w:eastAsia="es-ES"/>
        </w:rPr>
        <w:t xml:space="preserve"> En caso de que los Sujetos Obligados consideren que la información deba ser clasificada, el titular de la dependencia o área deberá remitir la solicitud, así como un escrito en el que funde y motive la clasificación al Comité de Transparencia, mismo que deberá resolver para: </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Confirmar la clasificación;</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Modificar la clasificación y otorgar total o parcialmente el acceso a la información; y</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Revocar la clasificación y conceder el acceso a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Comité de Transparencia podrá tener acceso a la información que esté en poder del área correspondiente, de la cual se haya solicitado su clasificación. La resolución del Comité de Transparencia será notificada al interesado en el plazo que establece el artículo 135 de la presente Ley.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145.-</w:t>
      </w:r>
      <w:r w:rsidRPr="0040486F">
        <w:rPr>
          <w:rFonts w:asciiTheme="minorHAnsi" w:eastAsia="Times New Roman" w:hAnsiTheme="minorHAnsi" w:cs="Arial"/>
          <w:i/>
          <w:sz w:val="24"/>
          <w:szCs w:val="24"/>
          <w:lang w:eastAsia="es-ES"/>
        </w:rPr>
        <w:t xml:space="preserve"> Cuando la información requerida en una solicitud no se localice en los archivos del sujeto obligado, que por razón de sus funciones deba tenerla, se remitirá la petición al Comité de Transparencia, quien determinará se efectúen las siguientes acciones:</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Dispondrá las medidas necesarias para localizar la información;</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Emitirá una resolución que determine la inexistencia del documento;</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Notificará al órgano de control interno o a la instancia correspondiente a efecto de que se inicie el procedimiento de responsabilidad, en los casos que resulte procedente.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146.- </w:t>
      </w:r>
      <w:r w:rsidRPr="0040486F">
        <w:rPr>
          <w:rFonts w:asciiTheme="minorHAnsi" w:eastAsia="Times New Roman" w:hAnsiTheme="minorHAnsi" w:cs="Arial"/>
          <w:i/>
          <w:sz w:val="24"/>
          <w:szCs w:val="24"/>
          <w:lang w:eastAsia="es-ES"/>
        </w:rPr>
        <w:t>Las personas físicas y morales que reciban y ejerzan recursos públicos o realicen actos de autoridad, serán responsables del cumplimiento de los plazos y términos para otorgar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147.-</w:t>
      </w:r>
      <w:r w:rsidRPr="0040486F">
        <w:rPr>
          <w:rFonts w:asciiTheme="minorHAnsi" w:eastAsia="Times New Roman" w:hAnsiTheme="minorHAnsi" w:cs="Arial"/>
          <w:i/>
          <w:sz w:val="24"/>
          <w:szCs w:val="24"/>
          <w:lang w:eastAsia="es-ES"/>
        </w:rPr>
        <w:t xml:space="preserve"> Los sujetos obligados promoverán la concertación de acuerdos con instituciones públicas y privadas especializadas que pudieran auxiliarles a entregar las repuestas a solicitudes de información, en lenguas indígenas, sistema braille o cualquier formato accesible, en forma más eficiente.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RECURSO DE REVISIÓN</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148.-</w:t>
      </w:r>
      <w:r w:rsidRPr="0040486F">
        <w:rPr>
          <w:rFonts w:asciiTheme="minorHAnsi" w:eastAsia="Times New Roman" w:hAnsiTheme="minorHAnsi" w:cs="Arial"/>
          <w:i/>
          <w:sz w:val="24"/>
          <w:szCs w:val="24"/>
          <w:lang w:eastAsia="es-ES"/>
        </w:rPr>
        <w:t xml:space="preserve"> Los solicitantes de información o, en su caso, los particulares que se consideren afectados por los actos, omisiones o resoluciones de los sujetos obligados que nieguen o limiten el acceso a la información, podrán interponer, por sí mismos o a través de su representantes, ante el Organismo Garante o ante la Unidad de Transparencia, el recurso de revisión que previene este Capítulo.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el recurso se interponga ante la Unidad de Transparencia del sujeto obligado que hubiera motivado la reclamación, éste tendrá la obligación de hacerlo llegar al Organismo Garante a más tardar al día siguiente de haberlo recibido.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términos establecidos en el presente Capítulo se computarán invariablemente en días hábiles.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149.-</w:t>
      </w:r>
      <w:r w:rsidRPr="0040486F">
        <w:rPr>
          <w:rFonts w:asciiTheme="minorHAnsi" w:eastAsia="Times New Roman" w:hAnsiTheme="minorHAnsi" w:cs="Arial"/>
          <w:i/>
          <w:sz w:val="24"/>
          <w:szCs w:val="24"/>
          <w:lang w:eastAsia="es-ES"/>
        </w:rPr>
        <w:t xml:space="preserve"> El recurso de revisión es un medio de protección que la Ley otorga a los particulares, para hacer valer su derecho de acceso a la información pública, mismo que podrá presentarse indistintamente por los siguientes medios:</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escrito; </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comparecencia, en cuyo caso el personal del Organismo Garante orientará al solicitante y llenará el formato correspondiente para hacer constar su inconformidad y proceder al trámite del recurso; y</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medio electrónico, pudiendo ser mediante la utilización del sistema electrónico que al efecto implemente el Organismo Garante.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150.-</w:t>
      </w:r>
      <w:r w:rsidRPr="0040486F">
        <w:rPr>
          <w:rFonts w:asciiTheme="minorHAnsi" w:eastAsia="Times New Roman" w:hAnsiTheme="minorHAnsi" w:cs="Arial"/>
          <w:i/>
          <w:sz w:val="24"/>
          <w:szCs w:val="24"/>
          <w:lang w:eastAsia="es-ES"/>
        </w:rPr>
        <w:t xml:space="preserve"> El recurso de revisión procede cuando la reclamación comprenda cualquiera de las siguientes causas:</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clasificación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declaración de inexistencia de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declaración de incompetencia por el sujeto obligado;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de información incompleta;</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de información que no corresponda con lo solicitado;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 respuesta a una solicitud de acceso a la información dentro de los plazos establecidos en la ley;</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notificación, entrega o puesta a disposición de información en una modalidad o formato distinto al solicitado;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o puesta a disposición de información en un formato incomprensible y/o no accesible para el solicitante;</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costos o tiempos de entrega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 trámite a una solicitud;</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negativa a permitir la consulta directa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deficiencia o insuficiencia de la fundamentación y/o motivación en la respuesta; 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orientación a un trámite específico.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respuesta que den los sujetos obligados derivada de la resolución a un recurso de revisión que proceda por las causales señaladas en las fracciones III, VI, VIII, IX, X y XI es susceptible de ser impugnada de nueva cuenta, mediante este mismo recurso, ante el organismo garante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151.-</w:t>
      </w:r>
      <w:r w:rsidRPr="0040486F">
        <w:rPr>
          <w:rFonts w:asciiTheme="minorHAnsi" w:eastAsia="Times New Roman" w:hAnsiTheme="minorHAnsi" w:cs="Arial"/>
          <w:i/>
          <w:sz w:val="24"/>
          <w:szCs w:val="24"/>
          <w:lang w:eastAsia="es-ES"/>
        </w:rPr>
        <w:t xml:space="preserve"> El recurso deberá interponerse dentro de los quince días hábiles siguientes a la fecha en que el particular haya tenido noticia de la causal que constituye la materia de su reclamación o de que hubiera surtido efectos la notificación de la resolución que reclame.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supuesto de la fracción VI del artículo que antecede, el plazo contará a partir del momento en que hayan transcurrido los términos establecidos para dar contestación a las solicitudes de acceso a la información. En este caso y de presentarse el recurso por escrito, verbalmente o mediante la utilización de medio electrónico distinto del específico habilitado para tal fin, bastará que el solicitante acompañe al recurso el documento que acredite la fecha en que presentó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152.-</w:t>
      </w:r>
      <w:r w:rsidRPr="0040486F">
        <w:rPr>
          <w:rFonts w:asciiTheme="minorHAnsi" w:eastAsia="Times New Roman" w:hAnsiTheme="minorHAnsi" w:cs="Arial"/>
          <w:i/>
          <w:sz w:val="24"/>
          <w:szCs w:val="24"/>
          <w:lang w:eastAsia="es-ES"/>
        </w:rPr>
        <w:t xml:space="preserve"> El recurso de revisión a que se refiere el presente Capítulo, podrá interponerse por escrito libre, a través de los formatos que al efecto proporcione el Organismo Garante o por medios electrónicos y deberá contener lo siguiente:</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sujeto obligado ante el cual se presentó la solicitud;</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que recurre o de su representante y, en su caso, del tercero interesado, así como la dirección o medio que señale para recibir notificaciones;</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folio de respuesta de la solicitud de acceso;</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fecha en que fue notificada la respuesta al solicitante o tuvo conocimiento del acto reclamado, o de presentación de la solicitud, en caso de falta de respuesta;</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acto que se recurre;</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razones o motivos de inconformidad; y</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copia de la respuesta que se impugna y, en su caso, de la notificación correspondiente, salvo en el caso de respuesta de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Adicionalmente, se podrán anexar las pruebas y demás elementos que considere procedentes someter a juicio del Organismo Garante. En ningún caso será necesario que el particular ratifique el recurso de revisión interpuesto.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153.-</w:t>
      </w:r>
      <w:r w:rsidRPr="0040486F">
        <w:rPr>
          <w:rFonts w:asciiTheme="minorHAnsi" w:eastAsia="Times New Roman" w:hAnsiTheme="minorHAnsi" w:cs="Arial"/>
          <w:i/>
          <w:sz w:val="24"/>
          <w:szCs w:val="24"/>
          <w:lang w:eastAsia="es-ES"/>
        </w:rPr>
        <w:t xml:space="preserve"> Recibido un escrito para interposición del recurso de revisión, el Organismo Garante lo analizará y de encontrar </w:t>
      </w:r>
      <w:r w:rsidRPr="003409C1">
        <w:rPr>
          <w:rFonts w:asciiTheme="minorHAnsi" w:eastAsia="Times New Roman" w:hAnsiTheme="minorHAnsi" w:cs="Arial"/>
          <w:i/>
          <w:sz w:val="24"/>
          <w:szCs w:val="24"/>
          <w:lang w:eastAsia="es-ES"/>
        </w:rPr>
        <w:t>que adolece de alguno de los supuestos que se consignan en el artículo que antecede, prevendrá al solicitante sobre las imprecisiones que advierta, concediéndole un término de cinco días hábiles para subsanarlas. En</w:t>
      </w:r>
      <w:r w:rsidRPr="0040486F">
        <w:rPr>
          <w:rFonts w:asciiTheme="minorHAnsi" w:eastAsia="Times New Roman" w:hAnsiTheme="minorHAnsi" w:cs="Arial"/>
          <w:i/>
          <w:sz w:val="24"/>
          <w:szCs w:val="24"/>
          <w:lang w:eastAsia="es-ES"/>
        </w:rPr>
        <w:t xml:space="preserve"> caso de que no se realicen las aclaraciones pertinentes, el recurso será desechado sin mayor trámite.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lo relativo a la tramitación de los recursos, el Organismo Garante deberá suplir las deficiencias de la queja, para garantizar el ejercicio del derecho de acceso a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154.-</w:t>
      </w:r>
      <w:r w:rsidRPr="0040486F">
        <w:rPr>
          <w:rFonts w:asciiTheme="minorHAnsi" w:eastAsia="Times New Roman" w:hAnsiTheme="minorHAnsi" w:cs="Arial"/>
          <w:i/>
          <w:sz w:val="24"/>
          <w:szCs w:val="24"/>
          <w:lang w:eastAsia="es-ES"/>
        </w:rPr>
        <w:t xml:space="preserve"> Recibido el recurso por el Organismo Garante, ya sea físicamente o a través de la utilización de medios electrónicos, se deberá proveer en cuanto a su admisión dentro de los tres días hábiles siguientes. Este plazo será suspendido cuando resulte necesario solicitar la aclaración del escrito en que se promueve la revisión.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de los recursos de revisión deberán emitirse dentro del término de cuarenta días, contados a partir de su admisión, plazo que podrá ampliarse por una sola vez, hasta por veinte días adicionales.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155.-</w:t>
      </w:r>
      <w:r w:rsidRPr="0040486F">
        <w:rPr>
          <w:rFonts w:asciiTheme="minorHAnsi" w:eastAsia="Times New Roman" w:hAnsiTheme="minorHAnsi" w:cs="Arial"/>
          <w:i/>
          <w:sz w:val="24"/>
          <w:szCs w:val="24"/>
          <w:lang w:eastAsia="es-ES"/>
        </w:rPr>
        <w:t xml:space="preserve"> En el acuerdo en el que se resuelva la admisión de un recurso, se determinará:</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integración de un expediente físico cuando el recurso sea presentado por escrito, o electrónico cuando éste sea el medio elegido para su interposición;</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orden para que el acuerdo de admisión sea notificado al recurrente, al sujeto obligado de quien se reclame un acto u omisión y, en su caso, al tercero interesado, concediendo a éstos un término de siete días, contados a partir del día siguiente al que se practique la notificación, para que manifiesten lo que a sus intereses convenga y ofrezcan todo tipo de pruebas y alegatos, con excepción de la confesional y de aquéllas que sean contrarias a derecho; y</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señalado en la fracción anterior, con aportación de las partes o sin ella, se decretará el cierre de la instrucción y quedarán los autos para el dictado de la resolución que corresponda, la cual deberá emitirse dentro de los veinte días siguientes.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pronuncie el Organismo Garante deberán ser notificadas a las partes, siendo vinculatorias, definitivas e inatacables para los sujetos obligados. El recurrente y el tercero interesado podrán optar por impugnar las determinaciones del Organismo Garante mediante la interposición del recurso de inconformidad ante el Organismo Garante Nacional, en términos del Capítulo II del Título Octavo de la Ley General, o bien a través del juicio de amparo ante el Poder Judicial de la Federación.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Organismo Garante podrá solicitar al Organismo Garante Nacional la atracción de los recursos de revisión que sean de su competencia originaria, cuando </w:t>
      </w:r>
      <w:r w:rsidRPr="0040486F">
        <w:rPr>
          <w:rFonts w:asciiTheme="minorHAnsi" w:eastAsia="Times New Roman" w:hAnsiTheme="minorHAnsi" w:cs="Arial"/>
          <w:i/>
          <w:vanish/>
          <w:sz w:val="24"/>
          <w:szCs w:val="24"/>
          <w:lang w:eastAsia="es-ES"/>
        </w:rPr>
        <w:t>que se consideren relevantesia cuando a en los tccierecho fundamental de acceso a la informaciey General.en ante el Ministerio P</w:t>
      </w:r>
      <w:r w:rsidRPr="0040486F">
        <w:rPr>
          <w:rFonts w:asciiTheme="minorHAnsi" w:eastAsia="Times New Roman" w:hAnsiTheme="minorHAnsi" w:cs="Arial"/>
          <w:i/>
          <w:sz w:val="24"/>
          <w:szCs w:val="24"/>
          <w:lang w:eastAsia="es-ES"/>
        </w:rPr>
        <w:t>éstos revistan interés y trascendencia, en los términos previstos en el Capítulo III del Título Séptimo de la Ley General.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156.-</w:t>
      </w:r>
      <w:r w:rsidRPr="0040486F">
        <w:rPr>
          <w:rFonts w:asciiTheme="minorHAnsi" w:eastAsia="Times New Roman" w:hAnsiTheme="minorHAnsi" w:cs="Arial"/>
          <w:i/>
          <w:sz w:val="24"/>
          <w:szCs w:val="24"/>
          <w:lang w:eastAsia="es-ES"/>
        </w:rPr>
        <w:t xml:space="preserve"> Los recursos de revisión que se presenten al conocimiento del Organismo Garante, serán turnados por riguroso orden a cada uno de los Comisionados que lo integran, quienes serán responsables de emitir los acuerdos y determinaciones necesarios para sustanciar los procedimientos, debiendo asistirse del Secretario de Acuerdos. Las resoluciones definitivas o las que se refieran a aspectos que deban tratarse como incidentes, serán en todo caso emitidas por el Pleno.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resolverá el recurso de revisión conforme a lo siguiente:</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Interpuesto el recurso de revisión, el Presidente del Organismo Garante lo turnará al Comisionado ponente que corresponda, quien deberá proceder a su análisis para que decrete su admisión o su desechamiento;</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Admitido el recurso de revisión, el Comisionado ponente deberá integrar un Expediente y ponerlo a disposición de las partes, para que, en un plazo máximo de siete días, manifiesten lo que a su derecho convenga;</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Dentro del plazo mencionado en la fracción II del presente artículo, las partes podrán ofrecer todo tipo de pruebas o alegatos excepto la confesional por parte de los sujetos obligados y aquéllas que sean contrarias a derecho;</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Comisionado ponente podrá determinar la celebración de audiencias con las partes durante la sustanciación del recurso de revisión;</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señalado en la fracción II del presente artículo, el Comisionado ponente procederá a decretar el cierre de instrucción;</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Organismo Garante no estará obligado a atender la información remitida por el sujeto obligado una vez decretado el cierre de instrucción; y</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Decretado el cierre de instrucción, el Expediente pasará a resolución, en un plazo que no podrá exceder de veinte días.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157.-</w:t>
      </w:r>
      <w:r w:rsidRPr="0040486F">
        <w:rPr>
          <w:rFonts w:asciiTheme="minorHAnsi" w:eastAsia="Times New Roman" w:hAnsiTheme="minorHAnsi" w:cs="Arial"/>
          <w:i/>
          <w:sz w:val="24"/>
          <w:szCs w:val="24"/>
          <w:lang w:eastAsia="es-ES"/>
        </w:rPr>
        <w:t xml:space="preserve"> Las resoluciones que dicte el Organismo Garante para resolver los recursos que ante él sean planteados, podrán determinar:</w:t>
      </w:r>
    </w:p>
    <w:p w:rsidR="00810F69" w:rsidRPr="0040486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Desecharlo;</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Sobreseerlo;</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Confirmar la respuesta del sujeto obligado; o </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Revocar o modificar la respuesta del sujeto obligado.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b/>
          <w:i/>
          <w:sz w:val="24"/>
          <w:szCs w:val="24"/>
          <w:lang w:eastAsia="es-ES"/>
        </w:rPr>
        <w:t xml:space="preserve">Artículo 158.- </w:t>
      </w:r>
      <w:r w:rsidRPr="00C1004F">
        <w:rPr>
          <w:rFonts w:asciiTheme="minorHAnsi" w:eastAsia="Times New Roman" w:hAnsiTheme="minorHAnsi" w:cs="Arial"/>
          <w:i/>
          <w:sz w:val="24"/>
          <w:szCs w:val="24"/>
          <w:lang w:eastAsia="es-ES"/>
        </w:rPr>
        <w:t>El recurso será desechado por improcedente cuando:</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Sea extemporáneo;</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 esté tramitando ante el Poder Judicial algún recurso o medio de defensa interpuesto por alguna de las partes;</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No se actualice alguno de los supuestos contenidos en el artículo 150 de la presente Ley;</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No se hubiera desahogado la prevención formulada al recurrente;</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 impugne la veracidad de la información proporcionada;</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Se trate de una consulta; o </w:t>
      </w:r>
    </w:p>
    <w:p w:rsidR="00810F69" w:rsidRPr="0040486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recurrente amplíe su solicitud en el recurso de revisión, en cuyo caso el desechamiento comprenderá únicamente los nuevos contenidos.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159.-</w:t>
      </w:r>
      <w:r w:rsidRPr="0040486F">
        <w:rPr>
          <w:rFonts w:asciiTheme="minorHAnsi" w:eastAsia="Times New Roman" w:hAnsiTheme="minorHAnsi" w:cs="Arial"/>
          <w:i/>
          <w:sz w:val="24"/>
          <w:szCs w:val="24"/>
          <w:lang w:eastAsia="es-ES"/>
        </w:rPr>
        <w:t xml:space="preserve"> El recurso será sobreseído en los casos siguientes:</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desistimiento expreso del recurrente;</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el recurrente fallezca;</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por cualquier motivo quede sin materia el recurso; y</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admitido el recurso sobrevenga o se advierta la existencia de una causal de improcedencia de las enumeradas en el artículo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160.-</w:t>
      </w:r>
      <w:r w:rsidRPr="0040486F">
        <w:rPr>
          <w:rFonts w:asciiTheme="minorHAnsi" w:eastAsia="Times New Roman" w:hAnsiTheme="minorHAnsi" w:cs="Arial"/>
          <w:i/>
          <w:sz w:val="24"/>
          <w:szCs w:val="24"/>
          <w:lang w:eastAsia="es-ES"/>
        </w:rPr>
        <w:t xml:space="preserve"> En cualquier momento el Organismo Garante y sus integrantes podrán requerir a los sujetos obligados información que a su juicio resulte necesaria para resolver los recursos que sean sometidos a su conocimiento.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continuará bajo el resguardo del sujeto obligado en el que originalmente se encontraba.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161.-</w:t>
      </w:r>
      <w:r w:rsidRPr="0040486F">
        <w:rPr>
          <w:rFonts w:asciiTheme="minorHAnsi" w:eastAsia="Times New Roman" w:hAnsiTheme="minorHAnsi" w:cs="Arial"/>
          <w:i/>
          <w:sz w:val="24"/>
          <w:szCs w:val="24"/>
          <w:lang w:eastAsia="es-ES"/>
        </w:rPr>
        <w:t xml:space="preserve"> Las resoluciones que pronuncie el Organismo Garante para resolver los recursos que le sean planteados, deberán contener:</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Lugar, fecha, el nombre del recurrente y del tercero interesado en su caso, sujeto obligado y un extracto de los hechos cuestionados;</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preceptos en que se fundamenten y las consideraciones que las sustenten;</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alcances y efectos de la resolución, fijando con precisión, en su caso, los sujetos y órganos obligados a cumplirla, así como los plazos que para tal efecto se determinen; y</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puntos resolutivos.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las resoluciones que pronuncie el Organismo Garante deberán observarse los criterios orientadores que emita el Organismo Garante Nacional, en términos de lo dispuesto en el Capítulo VI del Título Octavo de la Ley General.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plazos que se establezcan para el cumplimiento de las resoluciones, en los casos en que se determine la entrega de información no podrán exceder de diez días, a menos que el Organismo Garante considere de manera fundada y motivada ampliar dicho término cuando a su juicio así se requiera.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162.-</w:t>
      </w:r>
      <w:r w:rsidRPr="0040486F">
        <w:rPr>
          <w:rFonts w:asciiTheme="minorHAnsi" w:eastAsia="Times New Roman" w:hAnsiTheme="minorHAnsi" w:cs="Arial"/>
          <w:i/>
          <w:sz w:val="24"/>
          <w:szCs w:val="24"/>
          <w:lang w:eastAsia="es-ES"/>
        </w:rPr>
        <w:t xml:space="preserve"> Interpuesto el recurso por una negativa ficta, el Organismo Garante revisará los escritos aportados por las partes; si de éstos se advierte su omisión en responder la solicitud relativa, quedará el asunto para el dictado de la resolución correspondiente. Para mejor proveer y sustentar su determinación, el Organismo Garante, cuando lo considere necesario, podrá requerir al sujeto obligado el envío de la información que estime conducente, para determinar si en la misma no obra causal de clasificación.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caso de que al resolver un recurso el Organismo Garante considere procedente la entrega de la información, podrá emitir determinación de proporcionar aquélla sin costo alguno para el solicitante, incluyéndose los medios de reproducción, siempre que a su juicio hubiera existido reticencia, negligencia o mala fe de parte del sujeto obligado.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163.-</w:t>
      </w:r>
      <w:r w:rsidRPr="0040486F">
        <w:rPr>
          <w:rFonts w:asciiTheme="minorHAnsi" w:eastAsia="Times New Roman" w:hAnsiTheme="minorHAnsi" w:cs="Arial"/>
          <w:i/>
          <w:sz w:val="24"/>
          <w:szCs w:val="24"/>
          <w:lang w:eastAsia="es-ES"/>
        </w:rPr>
        <w:t xml:space="preserve"> Cuando la solicitud se refiera a información que deba estar en posesión de los sujetos obligados en atención a facultades o funciones que tienen conferidas por disposición expresa de la ley y aquéllos hubieren declarado su inexistencia, el Organismo Garante podrá ordenarles que generen la información, cuando esto sea posible.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164.-</w:t>
      </w:r>
      <w:r w:rsidRPr="0040486F">
        <w:rPr>
          <w:rFonts w:asciiTheme="minorHAnsi" w:eastAsia="Times New Roman" w:hAnsiTheme="minorHAnsi" w:cs="Arial"/>
          <w:i/>
          <w:sz w:val="24"/>
          <w:szCs w:val="24"/>
          <w:lang w:eastAsia="es-ES"/>
        </w:rPr>
        <w:t xml:space="preserve"> Las actuaciones y resoluciones del Organismo Garante se notificarán dentro del término de tres días siguientes a su emisión, a las autoridades a través de la Unidad de Transparencia o en su domicilio oficial, y a las demás partes en el domicilio físico o electrónico que hubieran señalado para tal efecto, pudiendo hacerse también de manera personal cuando concurran ellos o sus autorizados al domicilio del Organismo Garante; en su defecto, la publicación se realizará por estrados.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165.-</w:t>
      </w:r>
      <w:r w:rsidRPr="0040486F">
        <w:rPr>
          <w:rFonts w:asciiTheme="minorHAnsi" w:eastAsia="Times New Roman" w:hAnsiTheme="minorHAnsi" w:cs="Arial"/>
          <w:i/>
          <w:sz w:val="24"/>
          <w:szCs w:val="24"/>
          <w:lang w:eastAsia="es-ES"/>
        </w:rPr>
        <w:t xml:space="preserve"> En la tramitación del recurso de revisión se aplicarán supletoriamente las disposiciones contenidas en la Ley del Procedimiento Administrativo.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166.-</w:t>
      </w:r>
      <w:r w:rsidRPr="0040486F">
        <w:rPr>
          <w:rFonts w:asciiTheme="minorHAnsi" w:eastAsia="Times New Roman" w:hAnsiTheme="minorHAnsi" w:cs="Arial"/>
          <w:i/>
          <w:sz w:val="24"/>
          <w:szCs w:val="24"/>
          <w:lang w:eastAsia="es-ES"/>
        </w:rPr>
        <w:t xml:space="preserve"> En las resoluciones que pronuncie el Organismo Garante, donde se declare procedente la entrega de información, deberá requerirse al sujeto obligado para que informe el cumplimiento a la misma en un plazo máximo de diez días. Discrecionalmente y teniendo en consideración el volumen de la información, así como las gestiones o trámites que en cada caso deban realizarse para su debida observancia, el Organismo Garante podrá determinar la ampliación de este plazo.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sujeto obligado al que corresponda dar cumplimiento a una resolución podrá solicitar al Organismo Garante, dentro de los tres días posteriores a su notificación, la ampliación del plazo que le hubiera sido concedido para tales fines, misma que deberá resolverse dentro de los cinco días siguientes a su presentación.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167.-</w:t>
      </w:r>
      <w:r w:rsidRPr="0040486F">
        <w:rPr>
          <w:rFonts w:asciiTheme="minorHAnsi" w:eastAsia="Times New Roman" w:hAnsiTheme="minorHAnsi" w:cs="Arial"/>
          <w:i/>
          <w:sz w:val="24"/>
          <w:szCs w:val="24"/>
          <w:lang w:eastAsia="es-ES"/>
        </w:rPr>
        <w:t xml:space="preserve"> Transcurrido el plazo que le fuera concedido para el cumplimiento de una resolución, el sujeto obligado deberá informar al organismo garante sobre el cumplimento que le hubiera dado.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organismo garante, deberá expresar las causas específicas por las cuales así lo considera.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168.-</w:t>
      </w:r>
      <w:r w:rsidRPr="0040486F">
        <w:rPr>
          <w:rFonts w:asciiTheme="minorHAnsi" w:eastAsia="Times New Roman" w:hAnsiTheme="minorHAnsi" w:cs="Arial"/>
          <w:i/>
          <w:sz w:val="24"/>
          <w:szCs w:val="24"/>
          <w:lang w:eastAsia="es-ES"/>
        </w:rPr>
        <w:t xml:space="preserve"> El organismo garante deberá pronunciarse, en un plazo no mayor a cinco días, sobre todas las causas que el recurrente manifieste así como del resultado de la verificación realizada. Si el organismo garante considera que se dio cumplimiento a la resolución, emitirá un acuerdo de cumplimiento y se ordenará el archivo del expediente. En caso contrario, el organismo garante:</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Emitirá un acuerdo de incumplimiento;</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Notificará al superior jerárquico del responsable de dar cumplimiento, para el efecto de que, en un plazo no mayor a cinco días, se dé cumplimiento a la resolución; y</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Determinará las medidas de apremio o sanciones, según corresponda, que deberán imponerse o las acciones que deberán realizarse.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169.- </w:t>
      </w:r>
      <w:r w:rsidRPr="0040486F">
        <w:rPr>
          <w:rFonts w:asciiTheme="minorHAnsi" w:eastAsia="Times New Roman" w:hAnsiTheme="minorHAnsi" w:cs="Arial"/>
          <w:i/>
          <w:sz w:val="24"/>
          <w:szCs w:val="24"/>
          <w:lang w:eastAsia="es-ES"/>
        </w:rPr>
        <w:t>Cuando el Organismo Garante considere que algún servidor público pudiera haber incurrido en responsabilidad, deberá hacerlo del conocimiento del órgano de control del sujeto obligado para que inicie el procedimiento de sanción, o turne el conocimiento del caso a la instancia que corresponda, de acuerdo a las disposiciones de la Ley de Responsabilidades, sin perjuicio de que continúe realizando las acciones necesarias para lograr el cumplimiento de sus determinaciones.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SÉPTIMO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MEDIOS PARA HACER EFECTIVAS LAS DETERMINACIONES DEL ORGANISMO GARANTE</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LAS MEDIDAS DE APREMIO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170.-</w:t>
      </w:r>
      <w:r w:rsidRPr="0040486F">
        <w:rPr>
          <w:rFonts w:asciiTheme="minorHAnsi" w:eastAsia="Times New Roman" w:hAnsiTheme="minorHAnsi" w:cs="Arial"/>
          <w:i/>
          <w:sz w:val="24"/>
          <w:szCs w:val="24"/>
          <w:lang w:eastAsia="es-ES"/>
        </w:rPr>
        <w:t xml:space="preserve"> Para lograr el debido cumplimiento de sus resoluciones, el Organismo Garante podrá aplicar las siguientes medidas de apremio:</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Apercibimiento;</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Amonestación pública; y</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por el importe desde ciento cincuenta hasta mil quinientas Unidades de Medida y Actualización.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171.-</w:t>
      </w:r>
      <w:r w:rsidRPr="0040486F">
        <w:rPr>
          <w:rFonts w:asciiTheme="minorHAnsi" w:eastAsia="Times New Roman" w:hAnsiTheme="minorHAnsi" w:cs="Arial"/>
          <w:i/>
          <w:sz w:val="24"/>
          <w:szCs w:val="24"/>
          <w:lang w:eastAsia="es-ES"/>
        </w:rPr>
        <w:t xml:space="preserve"> La enunciación de las medidas de apremio a que se refiere el artículo que antecede, no implica que deban necesariamente ser aplicadas por su orden. El Organismo Garante determinará su procedencia atendiendo a las condiciones del caso así como a la pertinencia de la medida.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hacerse necesaria la implementación de una medida de apremio, el Organismo Garante deberá sujetarse a las siguientes estipulaciones:</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imposición de una medida de apremio no requerirá reticencia previa expresa para proceder al cumplimiento de una resolución o determinación del Organismo Garante de parte de los servidores públicos, por lo que podrá decretarse en cualquier momento, para procurar el eficaz goce de los derechos que consagra esta Ley;</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medidas de apremio a que se refiere el presente Capítulo podrán imponerse tanto a los servidores públicos involucrados de manera directa en el cumplimiento de las determinaciones del Organismo Garante, como a sus superiores jerárquicos y al personal que tenga a su cargo la generación, resguardo o administración de la información específica, así como aquéllos que de alguna forma se encuentren vinculados al cumplimiento de una resolución; y</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la imposición de las medidas de apremio previstas en el artículo que antecede, deberá invariablemente mediar el apercibimiento correspondiente, el cual será debidamente notificado a quien se formule el requerimiento.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172.-</w:t>
      </w:r>
      <w:r w:rsidRPr="0040486F">
        <w:rPr>
          <w:rFonts w:asciiTheme="minorHAnsi" w:eastAsia="Times New Roman" w:hAnsiTheme="minorHAnsi" w:cs="Arial"/>
          <w:i/>
          <w:sz w:val="24"/>
          <w:szCs w:val="24"/>
          <w:lang w:eastAsia="es-ES"/>
        </w:rPr>
        <w:t xml:space="preserve"> El Organismo Garante, cuando resuelva imponer alguna de las medidas de apremio consideradas en el presente Capítulo, procederá de la siguiente manera:</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formule el apercibimiento de imponer una medida de apremio, éste será comunicado al servidor público a quien se podría imponer dicha medida;</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el caso de que se determine imponer una amonestación pública, ésta deberá constar por escrito y además de dirigirse al servidor público a quien se imponga, se hará llegar copia de la misma al superior jerárquico y al órgano de control, en su caso. El Organismo Garante dispondrá un rubro en su apartado de transparencia, para la publicación de las amonestaciones que imponga en el ejercicio de sus atribuciones; y </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Cuando se imponga una multa a algún servidor público, de inmediato se turnará una copia de ella a la Secretaría competente en materia de Finanzas del Gobierno del Estado, para que proceda a hacerla efectiva, lo que deberá realizar en un período no mayor a quince días </w:t>
      </w:r>
      <w:r w:rsidRPr="0040486F">
        <w:rPr>
          <w:rFonts w:asciiTheme="minorHAnsi" w:eastAsia="Times New Roman" w:hAnsiTheme="minorHAnsi" w:cs="Arial"/>
          <w:i/>
          <w:sz w:val="24"/>
          <w:szCs w:val="24"/>
          <w:lang w:eastAsia="es-ES"/>
        </w:rPr>
        <w:lastRenderedPageBreak/>
        <w:t>siguientes a la notificación de la medida, debiendo en todo caso remitir al Organismo Garante las constancias que acrediten haberla hecho efectiva.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173.-</w:t>
      </w:r>
      <w:r w:rsidRPr="0040486F">
        <w:rPr>
          <w:rFonts w:asciiTheme="minorHAnsi" w:eastAsia="Times New Roman" w:hAnsiTheme="minorHAnsi" w:cs="Arial"/>
          <w:i/>
          <w:sz w:val="24"/>
          <w:szCs w:val="24"/>
          <w:lang w:eastAsia="es-ES"/>
        </w:rPr>
        <w:t xml:space="preserve"> Las medidas de apremio a que se refiere el presente capítulo se impondrán teniendo en consideración los siguientes aspectos:</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gravedad de la infracción;</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reincidencia en la inobservancia de la resolución que corresponda; y</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condiciones económicas del requerido.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174.-</w:t>
      </w:r>
      <w:r w:rsidRPr="0040486F">
        <w:rPr>
          <w:rFonts w:asciiTheme="minorHAnsi" w:eastAsia="Times New Roman" w:hAnsiTheme="minorHAnsi" w:cs="Arial"/>
          <w:i/>
          <w:sz w:val="24"/>
          <w:szCs w:val="24"/>
          <w:lang w:eastAsia="es-ES"/>
        </w:rPr>
        <w:t xml:space="preserve"> El Organismo Garante podrá convenir con el Poder Ejecutivo del Estado la creación de un fondo que se constituya con los montos de los recursos que se recauden por concepto de las multas impuestas por el organismo, los cuales podrán ser canalizados al Organismo Garante y serán destinados a acciones tendientes a la difusión y aplicación de los derechos tutelados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SANCIONES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175.-</w:t>
      </w:r>
      <w:r w:rsidRPr="0040486F">
        <w:rPr>
          <w:rFonts w:asciiTheme="minorHAnsi" w:eastAsia="Times New Roman" w:hAnsiTheme="minorHAnsi" w:cs="Arial"/>
          <w:i/>
          <w:sz w:val="24"/>
          <w:szCs w:val="24"/>
          <w:lang w:eastAsia="es-ES"/>
        </w:rPr>
        <w:t xml:space="preserve"> Serán causas de sanción por incumplimiento de las obligaciones establecidas en esta Ley, las siguientes: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Omitir la respuesta a las solicitudes de información en los plazos señalados en la normatividad aplicable;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Actuar con negligencia, dolo o mala fe durante la sustanciación de las solicitudes en materia de acceso a la información o bien, al no difundir la información relativa a las obligaciones de transparencia previstas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Incumplir los plazos de atención previstos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Incumplir con las obligaciones de actualizar la información correspondiente a las obligaciones de transparencia en los plazos previstos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Declarar con dolo o negligencia la inexistencia de información cuando el sujeto obligado deba generarla, derivado del ejercicio de sus facultades, competencias o funciones;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Declarar la inexistencia de la información cuando exista total o parcialmente en sus archivos;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documentar con dolo o negligencia, el ejercicio de sus facultades, competencias, funciones o actos de autoridad, de conformidad con la normatividad aplicable;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Realizar actos para intimidar a los solicitantes de información o inhibir el ejercicio del derecho;</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Denegar intencionalmente información que no se encuentre clasificada como reservada o confidencial;</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Clasificar como reservada, con dolo o negligencia, la información sin que se cumplan las características señaladas en la presente Ley. La sanción procederá cuando exista una resolución previa del organismo garante, que haya quedado firme;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Omitir la desclasificación de la información reservada cuando los motivos que le dieron origen ya no existan o haya fenecido el plazo, cuando el organismo garante determine que existe una causa de interés público para ello o no se solicite la prórroga al Comité de Transparencia;</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atender los requerimientos establecidos en la presente Ley, emitidos por el Organismo Garante; 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acatar las resoluciones emitidas por el Organismo Garante, en ejercicio de sus funciones.</w:t>
      </w:r>
    </w:p>
    <w:p w:rsidR="00810F69" w:rsidRPr="00DE0C41"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C1004F">
        <w:rPr>
          <w:rFonts w:asciiTheme="minorHAnsi" w:eastAsia="Times New Roman" w:hAnsiTheme="minorHAnsi" w:cs="Arial"/>
          <w:i/>
          <w:sz w:val="24"/>
          <w:szCs w:val="24"/>
          <w:lang w:eastAsia="es-ES"/>
        </w:rPr>
        <w:t>Las sanciones de carácter económico que imponga el Organismo Garante por violaciones a la presente Ley, en ningún caso podrán ser cubiertas con recursos públicos.</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176.-</w:t>
      </w:r>
      <w:r w:rsidRPr="0040486F">
        <w:rPr>
          <w:rFonts w:asciiTheme="minorHAnsi" w:eastAsia="Times New Roman" w:hAnsiTheme="minorHAnsi" w:cs="Arial"/>
          <w:i/>
          <w:sz w:val="24"/>
          <w:szCs w:val="24"/>
          <w:lang w:eastAsia="es-ES"/>
        </w:rPr>
        <w:t xml:space="preserve"> De acreditarse el incumplimiento a las disposiciones de la presente Ley, el Organismo Garante podrá imponer las siguientes sanciones:</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Apercibimiento;</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por el equivalente al importe de ciento cincuenta a mil quinientas Unidades de Medida y Actualización, y</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previstas por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estará facultado para imponer las sanciones previstas en las dos primeras fracciones del presente artículo. En caso de que se considere que se ha cometido una infracción grave a las disposiciones de la presente Ley o que los servidores públicos muestren reticencia para acatar sus determinaciones, el Organismo Garante mediante resolución fundada deberá remitir copia de las actuaciones conducentes al órgano de control que corresponda, a efecto de que sea instaurado el procedimiento previsto en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177.- </w:t>
      </w:r>
      <w:r w:rsidRPr="0040486F">
        <w:rPr>
          <w:rFonts w:asciiTheme="minorHAnsi" w:eastAsia="Times New Roman" w:hAnsiTheme="minorHAnsi" w:cs="Arial"/>
          <w:i/>
          <w:sz w:val="24"/>
          <w:szCs w:val="24"/>
          <w:lang w:eastAsia="es-ES"/>
        </w:rPr>
        <w:t>Las infracciones a lo previsto en la presente Ley por parte de sujetos obligados que no cuenten con la calidad de servidor público, serán sancionadas con:</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apercibimiento, por única ocasión, para que el sujeto obligado cumpla su obligación de manera inmediata, en los términos previstos en esta Ley, tratándose de los supuestos previstos en las fracciones I, III, V, VI y X del artículo 175 de este ordenamiento. Si una vez hecho el apercibimiento no se cumple de manera inmediata con la obligación, en los términos previstos </w:t>
      </w:r>
      <w:r w:rsidRPr="0040486F">
        <w:rPr>
          <w:rFonts w:asciiTheme="minorHAnsi" w:eastAsia="Times New Roman" w:hAnsiTheme="minorHAnsi" w:cs="Arial"/>
          <w:i/>
          <w:sz w:val="24"/>
          <w:szCs w:val="24"/>
          <w:lang w:eastAsia="es-ES"/>
        </w:rPr>
        <w:lastRenderedPageBreak/>
        <w:t xml:space="preserve">en esta Ley, tratándose de los supuestos mencionados en esta fracción, se aplicará multa de ciento cincuenta a doscientos cincuenta Unidades de Medida y Actualización; </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de doscientos cincuenta a ochocientas Unidades de Medida y Actualización, en los casos previstos en las fracciones II y IV del artículo 175 de esta Ley; y</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de ochocientos a mil quinientas Unidades de Medida y Actualización, en los casos previstos en las fracciones VII, VIII, IX, XI, XII, XIII, XIV y XV del artículo 175 de esta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aplicará multa adicional de hasta cincuenta Unidades de Medida y Actualización, por día, a quien persista en las infracciones citadas en los incisos anteriores.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trate de presuntos infractores de sujetos obligados que no cuenten con la calidad de Servidor Público, la Comisión será la autoridad facultada para conocer y desahogar el procedimiento sancionador conforme a esta Ley y deberá llevar a cabo las acciones conducentes para la imposición y ejecución de las sanciones.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sanciones previstas en la Ley de Responsabilidades operarán exclusivamente en los casos en que el presunto infractor tenga el carácter de servidor público y se impondrán previa la instauración del procedimiento previsto por dicha norma, de parte de los órganos de control de los sujetos obligados o del superior jerárquico del presunto infractor, según corresponda.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los casos en que conforme al contenido del artículo que antecede, el Organismo Garante remita las actuaciones relativas a los órganos de control del sujeto obligado para la imposición de sanciones por responsabilidad administrativa, aquéllos deberán informar al Organismo Garante el resultado de los procedimientos que por violaciones a esta Ley finquen a los servidores públicos, una vez que hubieran causado estado sus resoluciones, así como respecto de la ejecución de la sanción impuesta.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178.-</w:t>
      </w:r>
      <w:r w:rsidRPr="0040486F">
        <w:rPr>
          <w:rFonts w:asciiTheme="minorHAnsi" w:eastAsia="Times New Roman" w:hAnsiTheme="minorHAnsi" w:cs="Arial"/>
          <w:i/>
          <w:sz w:val="24"/>
          <w:szCs w:val="24"/>
          <w:lang w:eastAsia="es-ES"/>
        </w:rPr>
        <w:t xml:space="preserve"> Cuando del contenido de las actuaciones y constancias de los procedimientos ventilados ante el Organismo Garante, se advierta la presunta comisión de delitos y éstos se persigan de oficio, se deberá dar el aviso correspondiente al Ministerio Público, remitiéndole copia de las constancias conducentes.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179.-</w:t>
      </w:r>
      <w:r w:rsidRPr="0040486F">
        <w:rPr>
          <w:rFonts w:asciiTheme="minorHAnsi" w:eastAsia="Times New Roman" w:hAnsiTheme="minorHAnsi" w:cs="Arial"/>
          <w:i/>
          <w:sz w:val="24"/>
          <w:szCs w:val="24"/>
          <w:lang w:eastAsia="es-ES"/>
        </w:rPr>
        <w:t xml:space="preserve"> El procedimiento que se implementará para imponer las sanciones a que se refiere el presente capítulo se supeditará a las siguientes fases:</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Dará comienzo con la notificación que efectúe el Organismo Garante al presunto infractor, sobre los hechos e imputaciones que motivaron el inicio del procedimiento y le otorgarán un término de quince días para que rinda pruebas y manifieste por escrito lo que a su derecho convenga. En caso de no hacerlo, el Organismo Garante resolverá de inmediato con los elementos de convicción de que disponga;</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el presunto infractor comparece al procedimiento, el Organismo Garante proveerá lo conducente en cuanto a la admisión de las pruebas ofrecidas y procederá a su desahogo, señalando fecha, hora y condiciones para la práctica de las diligencias correspondientes;</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que sea el período de desahogo de pruebas, se notificará al presunto infractor el derecho que le asiste para que, de estimarlo necesario, presente sus alegatos dentro de los cinco días siguientes a la fecha en que le sea notificado el acuerdo relativo;</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Una vez que transcurra el término concedido al presunto infractor para manifestar sus alegatos, los haya o no presentado, el Organismo Garante realizará la valoración de las constancias y elementos que obren en el expediente y resolverá en definitiva, dentro de los treinta días siguientes a la fecha en que inició el procedimiento sancionador; y</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resolución que se pronuncie deberá ser notificada personalmente al presunto infractor y, dentro de los diez días siguientes a la notificación, se hará pública la resolución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exista causa justificada, por acuerdo indelegable del Pleno del Organismo Garante, se podrá ampliar el plazo para dictar la resolución, por una sola vez y hasta por un período igual al señalado en la fracción IV de este precepto.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Una vez pronunciada y notificada la resolución que determine la imposición de una sanción, deberá procederse a su ejecución dentro de un término de quince días.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180.-</w:t>
      </w:r>
      <w:r w:rsidRPr="0040486F">
        <w:rPr>
          <w:rFonts w:asciiTheme="minorHAnsi" w:eastAsia="Times New Roman" w:hAnsiTheme="minorHAnsi" w:cs="Arial"/>
          <w:i/>
          <w:sz w:val="24"/>
          <w:szCs w:val="24"/>
          <w:lang w:eastAsia="es-ES"/>
        </w:rPr>
        <w:t xml:space="preserve"> En los casos en que exista incumplimiento en materia de transparencia y acceso a la información por parte de los partidos políticos, el Organismo Garante dará vista al Instituto Electoral del Estado para que resuelvan lo conducente, sin perjuicio de la imposición de las sanciones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infracciones imputables a quienes presten sus servicios en fideicomisos o fondos públicos, sindicatos y personas físicas o morales que reciban y ejerzan recursos públicos o realicen actos de autoridad, el Organismo Garante dará vista al órgano interno de control del sujeto obligado relacionado con éstos, cuando sean servidores públicos, con el fin de que instrumenten los procedimientos administrativos a que haya lugar o, en caso de que no tengan ese carácter, para que coadyuven en el marco de sus atribuciones a lograr el cumplimiento de lo omitido.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181.-</w:t>
      </w:r>
      <w:r w:rsidRPr="0040486F">
        <w:rPr>
          <w:rFonts w:asciiTheme="minorHAnsi" w:eastAsia="Times New Roman" w:hAnsiTheme="minorHAnsi" w:cs="Arial"/>
          <w:i/>
          <w:sz w:val="24"/>
          <w:szCs w:val="24"/>
          <w:lang w:eastAsia="es-ES"/>
        </w:rPr>
        <w:t xml:space="preserve"> Lo dispuesto en el artículo 174 del presente ordenamiento será aplicable inclusive para el tratamiento de las multas a que se refiere este capítulo.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TRANSITORIOS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PRIMERO</w:t>
      </w:r>
      <w:r w:rsidRPr="0040486F">
        <w:rPr>
          <w:rFonts w:asciiTheme="minorHAnsi" w:eastAsia="Times New Roman" w:hAnsiTheme="minorHAnsi" w:cs="Arial"/>
          <w:i/>
          <w:sz w:val="24"/>
          <w:szCs w:val="24"/>
          <w:lang w:eastAsia="es-ES"/>
        </w:rPr>
        <w:t xml:space="preserve">.- El presente Decreto entrará en vigor el día de su publicación en el Periódico Oficial "El Estado de Colima”, con excepción de lo previsto en el siguiente párrafo.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artículo 75 de la Ley contenida en el presente Decreto entrará en vigor en la misma fecha en que lo haga la reforma al párrafo segundo  del inciso h) fracción IV  del sexto párrafo del artículo 1°; de la Constitución Política del Estado Libre y Soberano de Colima, en materia de duración del cargo de los Comisionados del Instituto de Transparencia, Acceso a la Información Pública y Protección de Datos del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SEGUNDO</w:t>
      </w:r>
      <w:r w:rsidRPr="0040486F">
        <w:rPr>
          <w:rFonts w:asciiTheme="minorHAnsi" w:eastAsia="Times New Roman" w:hAnsiTheme="minorHAnsi" w:cs="Arial"/>
          <w:i/>
          <w:sz w:val="24"/>
          <w:szCs w:val="24"/>
          <w:lang w:eastAsia="es-ES"/>
        </w:rPr>
        <w:t>.- Se abroga la Ley de Transparencia y Acceso a la Información Pública del Estado de Colima publicada en el Periódico Oficial “El Estado de Colima” el día 26 de octubre de 2013, con sus consecuentes adiciones y reformas.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TERCERO</w:t>
      </w:r>
      <w:r w:rsidRPr="0040486F">
        <w:rPr>
          <w:rFonts w:asciiTheme="minorHAnsi" w:eastAsia="Times New Roman" w:hAnsiTheme="minorHAnsi" w:cs="Arial"/>
          <w:i/>
          <w:sz w:val="24"/>
          <w:szCs w:val="24"/>
          <w:lang w:eastAsia="es-ES"/>
        </w:rPr>
        <w:t>.- Se derogan las disposiciones que se opongan a lo establecido en el presente Decreto, manteniéndose la vigencia de la Ley de Protección de Datos Personales del Estado de Colima hasta en tanto el Congreso de la Unión no expida la Ley General en la materia y el Congreso del Estado no armonice en el ámbito de su competencia el ordenamiento legal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CUARTO</w:t>
      </w:r>
      <w:r w:rsidRPr="0040486F">
        <w:rPr>
          <w:rFonts w:asciiTheme="minorHAnsi" w:eastAsia="Times New Roman" w:hAnsiTheme="minorHAnsi" w:cs="Arial"/>
          <w:i/>
          <w:sz w:val="24"/>
          <w:szCs w:val="24"/>
          <w:lang w:eastAsia="es-ES"/>
        </w:rPr>
        <w:t>.- El Organismo Garante deberá expedir su Reglamento Interno, así como el Reglamento del Servicio Civil de Carrera, dentro de los 180 días siguientes a la entrada en vigor de la presente Ley, mientras tanto serán aplicables los que se encuentren vigentes, en lo que no contravengan las disposiciones del presente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QUINTO</w:t>
      </w:r>
      <w:r w:rsidRPr="0040486F">
        <w:rPr>
          <w:rFonts w:asciiTheme="minorHAnsi" w:eastAsia="Times New Roman" w:hAnsiTheme="minorHAnsi" w:cs="Arial"/>
          <w:i/>
          <w:sz w:val="24"/>
          <w:szCs w:val="24"/>
          <w:lang w:eastAsia="es-ES"/>
        </w:rPr>
        <w:t>.- El Instituto de Transparencia, Acceso a la Información Pública y Protección de Datos del Estado de Colima expedirá los lineamientos necesarios para el ejercicio de sus atribuciones, de conformidad con lo previsto en el presente Decreto, dentro de los noventa días siguientes a la entrada en vigor del presente Decreto.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SEXTO</w:t>
      </w:r>
      <w:r w:rsidRPr="0040486F">
        <w:rPr>
          <w:rFonts w:asciiTheme="minorHAnsi" w:eastAsia="Times New Roman" w:hAnsiTheme="minorHAnsi" w:cs="Arial"/>
          <w:i/>
          <w:sz w:val="24"/>
          <w:szCs w:val="24"/>
          <w:lang w:eastAsia="es-ES"/>
        </w:rPr>
        <w:t>.- El Instituto de Transparencia, Acceso a la Información Pública y Protección de Datos del Estado de Colima, en el ejercicio de sus atribuciones, realizará las acciones necesarias para capacitar a los sujetos obligados sobre las disposiciones contenidas en el presente Decreto, a efecto de conformar los órganos, establecer los procedimientos y llevar a cabo todas aquellas actividades tendientes a dar cabal cumplimiento a las disposiciones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SÉPTIMO</w:t>
      </w:r>
      <w:r w:rsidRPr="0040486F">
        <w:rPr>
          <w:rFonts w:asciiTheme="minorHAnsi" w:eastAsia="Times New Roman" w:hAnsiTheme="minorHAnsi" w:cs="Arial"/>
          <w:i/>
          <w:sz w:val="24"/>
          <w:szCs w:val="24"/>
          <w:lang w:eastAsia="es-ES"/>
        </w:rPr>
        <w:t>.- Cuando los ordenamientos jurídicos hagan referencia a los Consejeros del Instituto de Transparencia, Acceso a la Información Pública y Protección de Datos del Estado de Colima, se entenderá que dicha referencia corresponde a los Comisionados del citado Organismo Garante.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OCTAVO</w:t>
      </w:r>
      <w:r w:rsidRPr="0040486F">
        <w:rPr>
          <w:rFonts w:asciiTheme="minorHAnsi" w:eastAsia="Times New Roman" w:hAnsiTheme="minorHAnsi" w:cs="Arial"/>
          <w:i/>
          <w:sz w:val="24"/>
          <w:szCs w:val="24"/>
          <w:lang w:eastAsia="es-ES"/>
        </w:rPr>
        <w:t xml:space="preserve">.- La designación de los tres comisionados que integran el Instituto de Transparencia, Acceso a la Información Pública y Protección de Datos del Estado de Colima deberá ser realizada antes del 30 de junio de 2016.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Para asegurar la renovación escalonada con motivo de los nombramientos que se realizarán, por única vez el Congreso del Estado, a propuesta del Gobernador, elegirá a los comisionados conforme a lo siguiente: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a)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2018;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b)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2020;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c)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2022.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 mes antes de concluir cada uno de los comisionados sus respectivos periodos, el Congreso del Estado deberá designar al Comisionado que fungirá en el encargo, por un periodo de seis años, que invariablemente terminará el último día del mes de junio del año en que se cumpla dicho periodo. </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 xml:space="preserve">NOVENO.- </w:t>
      </w:r>
      <w:r w:rsidRPr="0040486F">
        <w:rPr>
          <w:rFonts w:asciiTheme="minorHAnsi" w:eastAsia="Times New Roman" w:hAnsiTheme="minorHAnsi" w:cs="Arial"/>
          <w:i/>
          <w:sz w:val="24"/>
          <w:szCs w:val="24"/>
          <w:lang w:eastAsia="es-ES"/>
        </w:rPr>
        <w:t>Los participantes en el proceso de designación de comisionados que se sujetaron a la convocatoria emitida el día 11 de febrero de 2016 por el Titular del Poder Ejecutivo del Estado continuaran participando en el proceso atendiendo a las disposiciones previstas en la ley contenida en el presente decreto.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DÉCIMO.- </w:t>
      </w:r>
      <w:r w:rsidRPr="0040486F">
        <w:rPr>
          <w:rFonts w:asciiTheme="minorHAnsi" w:eastAsia="Times New Roman" w:hAnsiTheme="minorHAnsi" w:cs="Arial"/>
          <w:i/>
          <w:sz w:val="24"/>
          <w:szCs w:val="24"/>
          <w:lang w:eastAsia="es-ES"/>
        </w:rPr>
        <w:t xml:space="preserve"> La designación de los tres Consejeros que integraran el Consejo Consultivo, deberá ser realizada antes del 31 de agosto de 2016.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Para asegurar la renovación escalonada con motivo de los nombramientos que se realizarán, por única vez el Congreso del Estado, elegirá a los consejeros conforme a lo siguiente: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a) Nombrará una o un Consejero, cuyo encargo concluirá el último día del mes de agosto de 2018;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b) Nombrará una o un Consejero, cuyo encargo concluirá el último día del mes de agosto de 2020; </w:t>
      </w:r>
    </w:p>
    <w:p w:rsidR="00810F69" w:rsidRPr="002A1956"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C1004F">
        <w:rPr>
          <w:rFonts w:asciiTheme="minorHAnsi" w:eastAsia="Times New Roman" w:hAnsiTheme="minorHAnsi" w:cs="Arial"/>
          <w:i/>
          <w:sz w:val="24"/>
          <w:szCs w:val="24"/>
          <w:lang w:eastAsia="es-ES"/>
        </w:rPr>
        <w:t>c) Nombrará una o un C</w:t>
      </w:r>
      <w:r w:rsidRPr="0040486F">
        <w:rPr>
          <w:rFonts w:asciiTheme="minorHAnsi" w:eastAsia="Times New Roman" w:hAnsiTheme="minorHAnsi" w:cs="Arial"/>
          <w:i/>
          <w:sz w:val="24"/>
          <w:szCs w:val="24"/>
          <w:lang w:eastAsia="es-ES"/>
        </w:rPr>
        <w:t xml:space="preserve">onsejero, cuyo encargo concluirá el último día del mes de agosto de 2022.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 mes antes de concluir cada uno de los consejeros sus respectivos periodos, el Congreso del Estado deberá designar al Consejero que fungirá en el encargo, por un periodo de seis años, que invariablemente terminará el último día del mes de agosto del año en que se cumpla dicho periodo.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b/>
          <w:i/>
          <w:sz w:val="24"/>
          <w:szCs w:val="24"/>
          <w:lang w:eastAsia="es-ES"/>
        </w:rPr>
        <w:t>UNDÉCIMO.-</w:t>
      </w:r>
      <w:r w:rsidRPr="00C1004F">
        <w:rPr>
          <w:rFonts w:asciiTheme="minorHAnsi" w:eastAsia="Times New Roman" w:hAnsiTheme="minorHAnsi" w:cs="Arial"/>
          <w:i/>
          <w:sz w:val="24"/>
          <w:szCs w:val="24"/>
          <w:lang w:eastAsia="es-ES"/>
        </w:rPr>
        <w:t xml:space="preserve"> Para</w:t>
      </w:r>
      <w:r w:rsidRPr="0040486F">
        <w:rPr>
          <w:rFonts w:asciiTheme="minorHAnsi" w:eastAsia="Times New Roman" w:hAnsiTheme="minorHAnsi" w:cs="Arial"/>
          <w:i/>
          <w:sz w:val="24"/>
          <w:szCs w:val="24"/>
          <w:lang w:eastAsia="es-ES"/>
        </w:rPr>
        <w:t xml:space="preserve"> determinar el valor de la Unidad de Medida y Actualización se estará a lo dispuesto por los artículos segundo y quinto transitorios del Decreto por el que se declara reformadas y adicionadas diversas disposiciones de la Constitución Política de los Estados Unidos Mexicanos, en materia de desindexación del salario mínimo, publicado el 27 de enero del 2016 en el Diario Oficial de la Federación. </w:t>
      </w:r>
    </w:p>
    <w:p w:rsidR="00810F69" w:rsidRPr="0040486F" w:rsidRDefault="00810F69" w:rsidP="00810F69">
      <w:pPr>
        <w:spacing w:after="120" w:line="240" w:lineRule="auto"/>
        <w:ind w:left="-142"/>
        <w:jc w:val="both"/>
        <w:rPr>
          <w:rFonts w:asciiTheme="minorHAnsi" w:eastAsia="Times New Roman" w:hAnsiTheme="minorHAnsi" w:cs="Arial"/>
          <w:bCs/>
          <w:i/>
          <w:sz w:val="24"/>
          <w:szCs w:val="24"/>
          <w:lang w:eastAsia="es-ES"/>
        </w:rPr>
      </w:pPr>
      <w:r w:rsidRPr="0040486F">
        <w:rPr>
          <w:rFonts w:asciiTheme="minorHAnsi" w:eastAsia="Times New Roman" w:hAnsiTheme="minorHAnsi" w:cs="Arial"/>
          <w:bCs/>
          <w:i/>
          <w:sz w:val="24"/>
          <w:szCs w:val="24"/>
          <w:lang w:eastAsia="es-ES"/>
        </w:rPr>
        <w:t>El Gobernador del Estado dispondrá se publique, circule y observe.</w:t>
      </w:r>
    </w:p>
    <w:p w:rsidR="00810F69" w:rsidRPr="0040486F" w:rsidRDefault="00810F69" w:rsidP="00810F69">
      <w:pPr>
        <w:pStyle w:val="BodyText2"/>
        <w:spacing w:after="120"/>
        <w:ind w:left="-142"/>
        <w:jc w:val="both"/>
        <w:rPr>
          <w:rFonts w:asciiTheme="minorHAnsi" w:hAnsiTheme="minorHAnsi" w:cs="Calibri"/>
          <w:i/>
          <w:snapToGrid w:val="0"/>
          <w:szCs w:val="24"/>
          <w:lang w:val="es-MX"/>
        </w:rPr>
      </w:pPr>
      <w:r w:rsidRPr="0040486F">
        <w:rPr>
          <w:rFonts w:asciiTheme="minorHAnsi" w:hAnsiTheme="minorHAnsi" w:cs="Calibri"/>
          <w:i/>
          <w:snapToGrid w:val="0"/>
          <w:szCs w:val="24"/>
          <w:lang w:val="es-MX"/>
        </w:rPr>
        <w:t>Dado en el Recinto Oficial del Poder Legislativo, al día 05</w:t>
      </w:r>
      <w:r>
        <w:rPr>
          <w:rFonts w:asciiTheme="minorHAnsi" w:hAnsiTheme="minorHAnsi" w:cs="Calibri"/>
          <w:i/>
          <w:snapToGrid w:val="0"/>
          <w:szCs w:val="24"/>
          <w:lang w:val="es-MX"/>
        </w:rPr>
        <w:t xml:space="preserve"> </w:t>
      </w:r>
      <w:r w:rsidRPr="0040486F">
        <w:rPr>
          <w:rFonts w:asciiTheme="minorHAnsi" w:hAnsiTheme="minorHAnsi" w:cs="Calibri"/>
          <w:i/>
          <w:snapToGrid w:val="0"/>
          <w:szCs w:val="24"/>
          <w:lang w:val="es-MX"/>
        </w:rPr>
        <w:t>cinco del mes de Mayo del año 2016 dos mil dieciséis.</w:t>
      </w:r>
    </w:p>
    <w:p w:rsidR="00810F69" w:rsidRPr="00402B59" w:rsidRDefault="00810F69" w:rsidP="00810F69">
      <w:pPr>
        <w:pStyle w:val="BodyText2"/>
        <w:spacing w:after="120"/>
        <w:ind w:left="-142"/>
        <w:jc w:val="both"/>
        <w:rPr>
          <w:b/>
        </w:rPr>
      </w:pPr>
      <w:r w:rsidRPr="00402B59">
        <w:rPr>
          <w:b/>
        </w:rPr>
        <w:t xml:space="preserve">DIP. CRISPIN GUERRA CARDENAS, PRESIDENTE. Rúbrica. DIP. FRANCISCO JAVIER CEBALLOS GALINDO, SECRETARIO. Rúbrica. DIP. JOSE ADRIAN OROZCO NERI, SECRETARIO. Rúbrica. </w:t>
      </w:r>
    </w:p>
    <w:p w:rsidR="00810F69" w:rsidRDefault="00810F69" w:rsidP="00810F69">
      <w:pPr>
        <w:pStyle w:val="BodyText2"/>
        <w:spacing w:after="120"/>
        <w:ind w:left="-142"/>
        <w:jc w:val="both"/>
      </w:pPr>
      <w:r>
        <w:t xml:space="preserve">Por lo tanto mando se imprima, publique, circule y observe. Dado en Palacio de Gobierno, al día 30 de mayo del año 2016 dos mil dieciséis. </w:t>
      </w:r>
    </w:p>
    <w:p w:rsidR="00810F69" w:rsidRDefault="00810F69" w:rsidP="00810F69">
      <w:pPr>
        <w:pStyle w:val="BodyText2"/>
        <w:spacing w:after="120"/>
        <w:ind w:left="-142"/>
        <w:jc w:val="both"/>
      </w:pPr>
      <w:r w:rsidRPr="00402B59">
        <w:rPr>
          <w:b/>
        </w:rPr>
        <w:t>EL GOBERNADOR CONSTITUCIONAL DEL ESTADO LIBRE Y SOBERANO DE COLIMA, LIC. JOSÉ IGNACIO PERALTA SÁNCHEZ</w:t>
      </w:r>
      <w:r>
        <w:t xml:space="preserve">. Rúbrica. </w:t>
      </w:r>
      <w:r w:rsidRPr="00402B59">
        <w:rPr>
          <w:b/>
        </w:rPr>
        <w:t>EL SECRETARIO GENERAL DE GOBIERNO, C. ARNOLDO OCHOA GONZÁLEZ.</w:t>
      </w:r>
      <w:r>
        <w:t xml:space="preserve"> Rúbrica.</w:t>
      </w:r>
    </w:p>
    <w:p w:rsidR="00810F69" w:rsidRDefault="00810F69" w:rsidP="00810F69">
      <w:pPr>
        <w:pStyle w:val="BodyText2"/>
        <w:spacing w:after="120"/>
        <w:ind w:left="-142"/>
        <w:jc w:val="both"/>
      </w:pPr>
    </w:p>
    <w:tbl>
      <w:tblPr>
        <w:tblStyle w:val="TableGrid"/>
        <w:tblW w:w="0" w:type="auto"/>
        <w:tblLook w:val="04A0" w:firstRow="1" w:lastRow="0" w:firstColumn="1" w:lastColumn="0" w:noHBand="0" w:noVBand="1"/>
      </w:tblPr>
      <w:tblGrid>
        <w:gridCol w:w="3406"/>
        <w:gridCol w:w="3407"/>
        <w:gridCol w:w="3407"/>
      </w:tblGrid>
      <w:tr w:rsidR="00810F69" w:rsidTr="00697904">
        <w:tc>
          <w:tcPr>
            <w:tcW w:w="10220" w:type="dxa"/>
            <w:gridSpan w:val="3"/>
          </w:tcPr>
          <w:p w:rsidR="00810F69" w:rsidRDefault="00810F69" w:rsidP="00697904">
            <w:pPr>
              <w:pStyle w:val="NoSpacing2"/>
              <w:jc w:val="center"/>
              <w:rPr>
                <w:b/>
              </w:rPr>
            </w:pPr>
            <w:r w:rsidRPr="00DE265D">
              <w:rPr>
                <w:b/>
              </w:rPr>
              <w:t>N. DEL E. A CONTINUACIÓN SE TRANSCRIBEN LOS TRANSITORIOS DE LOS DECRETOS QUE REFORMAN EL PRESENTE ORDENAMIENTO.</w:t>
            </w:r>
          </w:p>
        </w:tc>
      </w:tr>
      <w:tr w:rsidR="00810F69" w:rsidTr="00697904">
        <w:tc>
          <w:tcPr>
            <w:tcW w:w="3406" w:type="dxa"/>
          </w:tcPr>
          <w:p w:rsidR="00810F69" w:rsidRDefault="00810F69" w:rsidP="00697904">
            <w:pPr>
              <w:pStyle w:val="NoSpacing2"/>
              <w:jc w:val="center"/>
              <w:rPr>
                <w:b/>
              </w:rPr>
            </w:pPr>
            <w:r>
              <w:rPr>
                <w:b/>
              </w:rPr>
              <w:t>DECRETO</w:t>
            </w:r>
          </w:p>
        </w:tc>
        <w:tc>
          <w:tcPr>
            <w:tcW w:w="3407" w:type="dxa"/>
          </w:tcPr>
          <w:p w:rsidR="00810F69" w:rsidRDefault="00810F69" w:rsidP="00697904">
            <w:pPr>
              <w:pStyle w:val="NoSpacing2"/>
              <w:jc w:val="center"/>
              <w:rPr>
                <w:b/>
              </w:rPr>
            </w:pPr>
            <w:r>
              <w:rPr>
                <w:b/>
              </w:rPr>
              <w:t xml:space="preserve">PUBLICACIÓN </w:t>
            </w:r>
          </w:p>
        </w:tc>
        <w:tc>
          <w:tcPr>
            <w:tcW w:w="3407" w:type="dxa"/>
          </w:tcPr>
          <w:p w:rsidR="00810F69" w:rsidRDefault="00810F69" w:rsidP="00697904">
            <w:pPr>
              <w:pStyle w:val="NoSpacing2"/>
              <w:jc w:val="center"/>
              <w:rPr>
                <w:b/>
              </w:rPr>
            </w:pPr>
            <w:r>
              <w:rPr>
                <w:b/>
              </w:rPr>
              <w:t>TRANSITORIO</w:t>
            </w:r>
          </w:p>
        </w:tc>
      </w:tr>
      <w:tr w:rsidR="00810F69" w:rsidTr="00697904">
        <w:tc>
          <w:tcPr>
            <w:tcW w:w="3406" w:type="dxa"/>
          </w:tcPr>
          <w:p w:rsidR="00810F69" w:rsidRDefault="00810F69" w:rsidP="00697904">
            <w:pPr>
              <w:pStyle w:val="NoSpacing2"/>
              <w:jc w:val="center"/>
              <w:rPr>
                <w:b/>
              </w:rPr>
            </w:pPr>
          </w:p>
        </w:tc>
        <w:tc>
          <w:tcPr>
            <w:tcW w:w="3407" w:type="dxa"/>
          </w:tcPr>
          <w:p w:rsidR="00810F69" w:rsidRDefault="00810F69" w:rsidP="00697904">
            <w:pPr>
              <w:pStyle w:val="NoSpacing2"/>
              <w:jc w:val="center"/>
              <w:rPr>
                <w:b/>
              </w:rPr>
            </w:pPr>
            <w:r>
              <w:t>FE DE ERRATAS P.O. 38, 29 JUNIO DE 2016.</w:t>
            </w:r>
          </w:p>
        </w:tc>
        <w:tc>
          <w:tcPr>
            <w:tcW w:w="3407" w:type="dxa"/>
          </w:tcPr>
          <w:p w:rsidR="00810F69" w:rsidRDefault="00810F69" w:rsidP="00697904">
            <w:pPr>
              <w:pStyle w:val="NoSpacing2"/>
              <w:jc w:val="center"/>
              <w:rPr>
                <w:b/>
              </w:rPr>
            </w:pPr>
          </w:p>
        </w:tc>
      </w:tr>
      <w:tr w:rsidR="00810F69" w:rsidTr="00697904">
        <w:tc>
          <w:tcPr>
            <w:tcW w:w="3406" w:type="dxa"/>
          </w:tcPr>
          <w:p w:rsidR="00810F69" w:rsidRDefault="00810F69" w:rsidP="00697904">
            <w:pPr>
              <w:pStyle w:val="NoSpacing2"/>
              <w:jc w:val="center"/>
              <w:rPr>
                <w:b/>
              </w:rPr>
            </w:pPr>
            <w:r>
              <w:rPr>
                <w:b/>
              </w:rPr>
              <w:t>301</w:t>
            </w:r>
          </w:p>
        </w:tc>
        <w:tc>
          <w:tcPr>
            <w:tcW w:w="3407" w:type="dxa"/>
          </w:tcPr>
          <w:p w:rsidR="00810F69" w:rsidRPr="009B1087" w:rsidRDefault="00810F69" w:rsidP="00697904">
            <w:pPr>
              <w:pStyle w:val="NoSpacing2"/>
              <w:jc w:val="center"/>
              <w:rPr>
                <w:b/>
              </w:rPr>
            </w:pPr>
            <w:r w:rsidRPr="009B1087">
              <w:rPr>
                <w:b/>
              </w:rPr>
              <w:t>P.O. 38, 03 JUNIO 2017</w:t>
            </w:r>
          </w:p>
          <w:p w:rsidR="00810F69" w:rsidRDefault="00810F69" w:rsidP="00697904">
            <w:pPr>
              <w:pStyle w:val="NoSpacing2"/>
              <w:jc w:val="center"/>
            </w:pPr>
          </w:p>
          <w:p w:rsidR="00810F69" w:rsidRDefault="00810F69" w:rsidP="00697904">
            <w:pPr>
              <w:pStyle w:val="NoSpacing2"/>
              <w:jc w:val="both"/>
            </w:pPr>
            <w:r>
              <w:t>Se reforman los artículos 26 fracción lX; 30 fracción I inciso e); 95 fracción VIII; y se deroga el artículo 43, todos de la Ley de Transparencia y Acceso a la lnformación Pública del Estado de Colima.</w:t>
            </w:r>
          </w:p>
        </w:tc>
        <w:tc>
          <w:tcPr>
            <w:tcW w:w="3407" w:type="dxa"/>
          </w:tcPr>
          <w:p w:rsidR="00810F69" w:rsidRDefault="00810F69" w:rsidP="00697904">
            <w:pPr>
              <w:pStyle w:val="NoSpacing2"/>
              <w:jc w:val="both"/>
              <w:rPr>
                <w:b/>
              </w:rPr>
            </w:pPr>
            <w:r w:rsidRPr="009B1087">
              <w:rPr>
                <w:b/>
              </w:rPr>
              <w:t>ÚNICO</w:t>
            </w:r>
            <w:r>
              <w:t>. El presente Decreto entrará en vigor al siguiente día de su publicación en el Periódico Oficial "El Estado de Colima".</w:t>
            </w:r>
          </w:p>
        </w:tc>
      </w:tr>
    </w:tbl>
    <w:p w:rsidR="00810F69" w:rsidRDefault="00810F69" w:rsidP="00810F69">
      <w:pPr>
        <w:pStyle w:val="NoSpacing2"/>
        <w:jc w:val="center"/>
        <w:rPr>
          <w:b/>
        </w:rPr>
      </w:pPr>
    </w:p>
    <w:p w:rsidR="00810F69" w:rsidRPr="00DE265D" w:rsidRDefault="00810F69" w:rsidP="00810F69">
      <w:pPr>
        <w:pStyle w:val="NoSpacing2"/>
        <w:jc w:val="center"/>
        <w:rPr>
          <w:b/>
          <w:i/>
        </w:rPr>
      </w:pPr>
    </w:p>
    <w:p w:rsidR="00381791" w:rsidRDefault="00381791"/>
    <w:sectPr w:rsidR="00381791" w:rsidSect="002F673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2A2" w:rsidRDefault="000B62A2" w:rsidP="00810F69">
      <w:pPr>
        <w:spacing w:after="0" w:line="240" w:lineRule="auto"/>
      </w:pPr>
      <w:r>
        <w:separator/>
      </w:r>
    </w:p>
  </w:endnote>
  <w:endnote w:type="continuationSeparator" w:id="0">
    <w:p w:rsidR="000B62A2" w:rsidRDefault="000B62A2" w:rsidP="0081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tique Olive">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¹Å">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0B6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E00B0B" w:rsidP="00A85625">
    <w:pPr>
      <w:pStyle w:val="Footer"/>
      <w:spacing w:after="0" w:line="240" w:lineRule="auto"/>
      <w:jc w:val="right"/>
    </w:pPr>
    <w:r>
      <w:fldChar w:fldCharType="begin"/>
    </w:r>
    <w:r>
      <w:instrText xml:space="preserve"> PAGE   \* MERGEFORMAT </w:instrText>
    </w:r>
    <w:r>
      <w:fldChar w:fldCharType="separate"/>
    </w:r>
    <w:r w:rsidR="006455E2">
      <w:rPr>
        <w:noProof/>
      </w:rPr>
      <w:t>1</w:t>
    </w:r>
    <w:r>
      <w:rPr>
        <w:noProof/>
      </w:rPr>
      <w:fldChar w:fldCharType="end"/>
    </w:r>
  </w:p>
  <w:p w:rsidR="00DE265D" w:rsidRPr="009624E7" w:rsidRDefault="00E00B0B" w:rsidP="00A85625">
    <w:pPr>
      <w:pStyle w:val="Footer"/>
      <w:spacing w:after="0" w:line="240" w:lineRule="auto"/>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0B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2A2" w:rsidRDefault="000B62A2" w:rsidP="00810F69">
      <w:pPr>
        <w:spacing w:after="0" w:line="240" w:lineRule="auto"/>
      </w:pPr>
      <w:r>
        <w:separator/>
      </w:r>
    </w:p>
  </w:footnote>
  <w:footnote w:type="continuationSeparator" w:id="0">
    <w:p w:rsidR="000B62A2" w:rsidRDefault="000B62A2" w:rsidP="00810F69">
      <w:pPr>
        <w:spacing w:after="0" w:line="240" w:lineRule="auto"/>
      </w:pPr>
      <w:r>
        <w:continuationSeparator/>
      </w:r>
    </w:p>
  </w:footnote>
  <w:footnote w:id="1">
    <w:p w:rsidR="00810F69" w:rsidRDefault="00810F69" w:rsidP="00810F69">
      <w:pPr>
        <w:pStyle w:val="FootnoteText"/>
        <w:jc w:val="both"/>
      </w:pPr>
      <w:r>
        <w:rPr>
          <w:rStyle w:val="FootnoteReference"/>
        </w:rPr>
        <w:footnoteRef/>
      </w:r>
      <w:r>
        <w:t xml:space="preserve"> KUBLI-GARCÍA, Fausto. El principio de máxima publicidad en el régimen constitucional mexicano. Biblioteca jurídica Virtual del Instituto de Investigaciones Jurídicas de la UNAM. [En línea]nº 856. [fecha de consulta: 06 abril 2016</w:t>
      </w:r>
      <w:r w:rsidRPr="00446004">
        <w:t>]. Disponible en: http://biblio.juridicas.unam.mx/libros/6/2834/35.pdf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0B62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E00B0B" w:rsidP="00CF11C6">
    <w:pPr>
      <w:pStyle w:val="Header"/>
      <w:pBdr>
        <w:between w:val="single" w:sz="4" w:space="1" w:color="4F81BD"/>
      </w:pBdr>
      <w:spacing w:after="0" w:line="240" w:lineRule="auto"/>
      <w:jc w:val="center"/>
    </w:pPr>
    <w:r w:rsidRPr="000F4BDB">
      <w:rPr>
        <w:rFonts w:ascii="Arial Narrow" w:hAnsi="Arial Narrow"/>
        <w:sz w:val="22"/>
      </w:rPr>
      <w:t xml:space="preserve">Ley </w:t>
    </w:r>
    <w:r>
      <w:rPr>
        <w:rFonts w:ascii="Arial Narrow" w:hAnsi="Arial Narrow"/>
        <w:sz w:val="22"/>
      </w:rPr>
      <w:t>de Transparencia y Acceso a la Información Pública del Estado de Colima</w:t>
    </w:r>
  </w:p>
  <w:p w:rsidR="00DE265D" w:rsidRDefault="00E00B0B" w:rsidP="00CF11C6">
    <w:pPr>
      <w:pStyle w:val="Header"/>
      <w:pBdr>
        <w:between w:val="single" w:sz="4" w:space="1" w:color="4F81BD"/>
      </w:pBdr>
      <w:spacing w:after="0" w:line="240" w:lineRule="auto"/>
      <w:jc w:val="center"/>
    </w:pPr>
    <w:r w:rsidRPr="000F4BDB">
      <w:rPr>
        <w:i/>
        <w:sz w:val="22"/>
      </w:rPr>
      <w:t>Dirección de Procesos Legislativos</w:t>
    </w:r>
  </w:p>
  <w:p w:rsidR="00DE265D" w:rsidRDefault="000B62A2" w:rsidP="00EF0644">
    <w:pPr>
      <w:pStyle w:val="ListBullet"/>
      <w:tabs>
        <w:tab w:val="clear" w:pos="360"/>
        <w:tab w:val="left" w:pos="2966"/>
      </w:tabs>
      <w:spacing w:after="240"/>
      <w:ind w:right="299" w:firstLine="0"/>
      <w:jc w:val="both"/>
      <w:rPr>
        <w:rFonts w:cs="Calibri"/>
        <w:i/>
        <w:sz w:val="14"/>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65D" w:rsidRDefault="000B62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59"/>
    <w:multiLevelType w:val="hybridMultilevel"/>
    <w:tmpl w:val="F120EA6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A56514"/>
    <w:multiLevelType w:val="hybridMultilevel"/>
    <w:tmpl w:val="07CC901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DD422C"/>
    <w:multiLevelType w:val="hybridMultilevel"/>
    <w:tmpl w:val="B1EE754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AB20F0"/>
    <w:multiLevelType w:val="hybridMultilevel"/>
    <w:tmpl w:val="96721E4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0C1B4C"/>
    <w:multiLevelType w:val="hybridMultilevel"/>
    <w:tmpl w:val="ECF285E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BA0856"/>
    <w:multiLevelType w:val="multilevel"/>
    <w:tmpl w:val="1D1ADA32"/>
    <w:styleLink w:val="Style11"/>
    <w:lvl w:ilvl="0">
      <w:start w:val="2"/>
      <w:numFmt w:val="decimal"/>
      <w:lvlText w:val="%1"/>
      <w:lvlJc w:val="left"/>
      <w:pPr>
        <w:ind w:left="360" w:hanging="360"/>
      </w:pPr>
      <w:rPr>
        <w:rFonts w:hint="default"/>
      </w:rPr>
    </w:lvl>
    <w:lvl w:ilvl="1">
      <w:start w:val="16"/>
      <w:numFmt w:val="decimal"/>
      <w:lvlText w:val="%1.%2"/>
      <w:lvlJc w:val="left"/>
      <w:pPr>
        <w:ind w:left="1941" w:hanging="360"/>
      </w:pPr>
      <w:rPr>
        <w:rFonts w:hint="default"/>
      </w:rPr>
    </w:lvl>
    <w:lvl w:ilvl="2">
      <w:start w:val="1"/>
      <w:numFmt w:val="decimal"/>
      <w:lvlText w:val="%1.%2.%3"/>
      <w:lvlJc w:val="left"/>
      <w:pPr>
        <w:ind w:left="3522" w:hanging="360"/>
      </w:pPr>
      <w:rPr>
        <w:rFonts w:hint="default"/>
      </w:rPr>
    </w:lvl>
    <w:lvl w:ilvl="3">
      <w:start w:val="1"/>
      <w:numFmt w:val="decimal"/>
      <w:lvlText w:val="%1.%2.%3.%4"/>
      <w:lvlJc w:val="left"/>
      <w:pPr>
        <w:ind w:left="5463" w:hanging="720"/>
      </w:pPr>
      <w:rPr>
        <w:rFonts w:hint="default"/>
      </w:rPr>
    </w:lvl>
    <w:lvl w:ilvl="4">
      <w:start w:val="1"/>
      <w:numFmt w:val="decimal"/>
      <w:lvlText w:val="%1.%2.%3.%4.%5"/>
      <w:lvlJc w:val="left"/>
      <w:pPr>
        <w:ind w:left="7044" w:hanging="720"/>
      </w:pPr>
      <w:rPr>
        <w:rFonts w:hint="default"/>
      </w:rPr>
    </w:lvl>
    <w:lvl w:ilvl="5">
      <w:start w:val="1"/>
      <w:numFmt w:val="decimal"/>
      <w:lvlText w:val="%1.%2.%3.%4.%5.%6"/>
      <w:lvlJc w:val="left"/>
      <w:pPr>
        <w:ind w:left="8985" w:hanging="1080"/>
      </w:pPr>
      <w:rPr>
        <w:rFonts w:hint="default"/>
      </w:rPr>
    </w:lvl>
    <w:lvl w:ilvl="6">
      <w:start w:val="1"/>
      <w:numFmt w:val="decimal"/>
      <w:lvlText w:val="%1.%2.%3.%4.%5.%6.%7"/>
      <w:lvlJc w:val="left"/>
      <w:pPr>
        <w:ind w:left="10566" w:hanging="1080"/>
      </w:pPr>
      <w:rPr>
        <w:rFonts w:hint="default"/>
      </w:rPr>
    </w:lvl>
    <w:lvl w:ilvl="7">
      <w:start w:val="1"/>
      <w:numFmt w:val="decimal"/>
      <w:lvlText w:val="%1.%2.%3.%4.%5.%6.%7.%8"/>
      <w:lvlJc w:val="left"/>
      <w:pPr>
        <w:ind w:left="12147" w:hanging="1080"/>
      </w:pPr>
      <w:rPr>
        <w:rFonts w:hint="default"/>
      </w:rPr>
    </w:lvl>
    <w:lvl w:ilvl="8">
      <w:start w:val="1"/>
      <w:numFmt w:val="decimal"/>
      <w:lvlText w:val="%1.%2.%3.%4.%5.%6.%7.%8.%9"/>
      <w:lvlJc w:val="left"/>
      <w:pPr>
        <w:ind w:left="14088" w:hanging="1440"/>
      </w:pPr>
      <w:rPr>
        <w:rFonts w:hint="default"/>
      </w:rPr>
    </w:lvl>
  </w:abstractNum>
  <w:abstractNum w:abstractNumId="6">
    <w:nsid w:val="04E45812"/>
    <w:multiLevelType w:val="multilevel"/>
    <w:tmpl w:val="AC027C32"/>
    <w:styleLink w:val="Estilo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430542"/>
    <w:multiLevelType w:val="hybridMultilevel"/>
    <w:tmpl w:val="B62EAA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5570FCE"/>
    <w:multiLevelType w:val="hybridMultilevel"/>
    <w:tmpl w:val="044E619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68B2D3E"/>
    <w:multiLevelType w:val="hybridMultilevel"/>
    <w:tmpl w:val="ADA89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62F20"/>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075643"/>
    <w:multiLevelType w:val="hybridMultilevel"/>
    <w:tmpl w:val="3D58DC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7AE46F5"/>
    <w:multiLevelType w:val="hybridMultilevel"/>
    <w:tmpl w:val="CE5650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95C30FC"/>
    <w:multiLevelType w:val="hybridMultilevel"/>
    <w:tmpl w:val="E3526F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9BE6578"/>
    <w:multiLevelType w:val="hybridMultilevel"/>
    <w:tmpl w:val="177A2D20"/>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A534852"/>
    <w:multiLevelType w:val="hybridMultilevel"/>
    <w:tmpl w:val="7C485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A811C0F"/>
    <w:multiLevelType w:val="hybridMultilevel"/>
    <w:tmpl w:val="41E437D6"/>
    <w:lvl w:ilvl="0" w:tplc="1A06B97C">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B310C02"/>
    <w:multiLevelType w:val="hybridMultilevel"/>
    <w:tmpl w:val="9F86689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BA2089F"/>
    <w:multiLevelType w:val="hybridMultilevel"/>
    <w:tmpl w:val="DD3006A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C541C4D"/>
    <w:multiLevelType w:val="hybridMultilevel"/>
    <w:tmpl w:val="078CD81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8433D0"/>
    <w:multiLevelType w:val="hybridMultilevel"/>
    <w:tmpl w:val="D62CF2B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2B1C3F"/>
    <w:multiLevelType w:val="hybridMultilevel"/>
    <w:tmpl w:val="78DC26FA"/>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61565DC"/>
    <w:multiLevelType w:val="hybridMultilevel"/>
    <w:tmpl w:val="097297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6864572"/>
    <w:multiLevelType w:val="hybridMultilevel"/>
    <w:tmpl w:val="F796C95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7635982"/>
    <w:multiLevelType w:val="hybridMultilevel"/>
    <w:tmpl w:val="544416B2"/>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8AA66A0"/>
    <w:multiLevelType w:val="hybridMultilevel"/>
    <w:tmpl w:val="8F38BD0C"/>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D521311"/>
    <w:multiLevelType w:val="hybridMultilevel"/>
    <w:tmpl w:val="31E2F5F0"/>
    <w:styleLink w:val="Estilo141"/>
    <w:lvl w:ilvl="0" w:tplc="6930ECDE">
      <w:start w:val="1"/>
      <w:numFmt w:val="upperRoman"/>
      <w:lvlText w:val="%1."/>
      <w:lvlJc w:val="right"/>
      <w:pPr>
        <w:ind w:left="720" w:hanging="360"/>
      </w:pPr>
    </w:lvl>
    <w:lvl w:ilvl="1" w:tplc="935CDA26">
      <w:start w:val="1"/>
      <w:numFmt w:val="lowerLetter"/>
      <w:lvlText w:val="%2."/>
      <w:lvlJc w:val="left"/>
      <w:pPr>
        <w:ind w:left="1440" w:hanging="360"/>
      </w:pPr>
    </w:lvl>
    <w:lvl w:ilvl="2" w:tplc="751C28FC">
      <w:start w:val="1"/>
      <w:numFmt w:val="decimal"/>
      <w:lvlText w:val="%3."/>
      <w:lvlJc w:val="left"/>
      <w:pPr>
        <w:ind w:left="2165" w:hanging="180"/>
      </w:pPr>
    </w:lvl>
    <w:lvl w:ilvl="3" w:tplc="AAC23FFE" w:tentative="1">
      <w:start w:val="1"/>
      <w:numFmt w:val="decimal"/>
      <w:lvlText w:val="%4."/>
      <w:lvlJc w:val="left"/>
      <w:pPr>
        <w:ind w:left="2880" w:hanging="360"/>
      </w:pPr>
    </w:lvl>
    <w:lvl w:ilvl="4" w:tplc="44247F90" w:tentative="1">
      <w:start w:val="1"/>
      <w:numFmt w:val="lowerLetter"/>
      <w:lvlText w:val="%5."/>
      <w:lvlJc w:val="left"/>
      <w:pPr>
        <w:ind w:left="3600" w:hanging="360"/>
      </w:pPr>
    </w:lvl>
    <w:lvl w:ilvl="5" w:tplc="44D4D9E0" w:tentative="1">
      <w:start w:val="1"/>
      <w:numFmt w:val="lowerRoman"/>
      <w:lvlText w:val="%6."/>
      <w:lvlJc w:val="right"/>
      <w:pPr>
        <w:ind w:left="4320" w:hanging="180"/>
      </w:pPr>
    </w:lvl>
    <w:lvl w:ilvl="6" w:tplc="F1F6F25A" w:tentative="1">
      <w:start w:val="1"/>
      <w:numFmt w:val="decimal"/>
      <w:lvlText w:val="%7."/>
      <w:lvlJc w:val="left"/>
      <w:pPr>
        <w:ind w:left="5040" w:hanging="360"/>
      </w:pPr>
    </w:lvl>
    <w:lvl w:ilvl="7" w:tplc="00EA7D1E" w:tentative="1">
      <w:start w:val="1"/>
      <w:numFmt w:val="lowerLetter"/>
      <w:lvlText w:val="%8."/>
      <w:lvlJc w:val="left"/>
      <w:pPr>
        <w:ind w:left="5760" w:hanging="360"/>
      </w:pPr>
    </w:lvl>
    <w:lvl w:ilvl="8" w:tplc="58EE23DC" w:tentative="1">
      <w:start w:val="1"/>
      <w:numFmt w:val="lowerRoman"/>
      <w:lvlText w:val="%9."/>
      <w:lvlJc w:val="right"/>
      <w:pPr>
        <w:ind w:left="6480" w:hanging="180"/>
      </w:pPr>
    </w:lvl>
  </w:abstractNum>
  <w:abstractNum w:abstractNumId="27">
    <w:nsid w:val="1D5C77CF"/>
    <w:multiLevelType w:val="hybridMultilevel"/>
    <w:tmpl w:val="2514C46A"/>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D782A0C"/>
    <w:multiLevelType w:val="hybridMultilevel"/>
    <w:tmpl w:val="7BC0F5E0"/>
    <w:lvl w:ilvl="0" w:tplc="204421B4">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5C58E3"/>
    <w:multiLevelType w:val="hybridMultilevel"/>
    <w:tmpl w:val="78A6E0F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F9E2A9A"/>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0785E26"/>
    <w:multiLevelType w:val="hybridMultilevel"/>
    <w:tmpl w:val="6F743E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35101E4"/>
    <w:multiLevelType w:val="hybridMultilevel"/>
    <w:tmpl w:val="6E3C7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3912D6E"/>
    <w:multiLevelType w:val="hybridMultilevel"/>
    <w:tmpl w:val="01D48D6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51F5225"/>
    <w:multiLevelType w:val="multilevel"/>
    <w:tmpl w:val="DE76F44C"/>
    <w:styleLink w:val="Estilo14"/>
    <w:lvl w:ilvl="0">
      <w:start w:val="1"/>
      <w:numFmt w:val="upperRoman"/>
      <w:lvlText w:val="%1."/>
      <w:lvlJc w:val="right"/>
      <w:pPr>
        <w:ind w:left="720" w:hanging="360"/>
      </w:pPr>
    </w:lvl>
    <w:lvl w:ilvl="1">
      <w:start w:val="1"/>
      <w:numFmt w:val="lowerLetter"/>
      <w:lvlText w:val="%2."/>
      <w:lvlJc w:val="left"/>
      <w:pPr>
        <w:ind w:left="1440" w:hanging="360"/>
      </w:pPr>
      <w:rPr>
        <w:b/>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61243D6"/>
    <w:multiLevelType w:val="hybridMultilevel"/>
    <w:tmpl w:val="7AE089D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6AB29EA"/>
    <w:multiLevelType w:val="hybridMultilevel"/>
    <w:tmpl w:val="667048DE"/>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99D1BB8"/>
    <w:multiLevelType w:val="hybridMultilevel"/>
    <w:tmpl w:val="287C94B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9DB0118"/>
    <w:multiLevelType w:val="hybridMultilevel"/>
    <w:tmpl w:val="5B228CE0"/>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A134CE7"/>
    <w:multiLevelType w:val="hybridMultilevel"/>
    <w:tmpl w:val="FA4AA1F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D542FD0"/>
    <w:multiLevelType w:val="hybridMultilevel"/>
    <w:tmpl w:val="007025F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0347459"/>
    <w:multiLevelType w:val="hybridMultilevel"/>
    <w:tmpl w:val="826CD8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3173D97"/>
    <w:multiLevelType w:val="hybridMultilevel"/>
    <w:tmpl w:val="25B4ED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37A1EDB"/>
    <w:multiLevelType w:val="hybridMultilevel"/>
    <w:tmpl w:val="99B4FE12"/>
    <w:styleLink w:val="Estilo21"/>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34EB62D7"/>
    <w:multiLevelType w:val="hybridMultilevel"/>
    <w:tmpl w:val="21C4D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72F5428"/>
    <w:multiLevelType w:val="hybridMultilevel"/>
    <w:tmpl w:val="93908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8E84B42"/>
    <w:multiLevelType w:val="hybridMultilevel"/>
    <w:tmpl w:val="C0FE7A3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91B085A"/>
    <w:multiLevelType w:val="hybridMultilevel"/>
    <w:tmpl w:val="4844ACA6"/>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8">
    <w:nsid w:val="3A2A0DE4"/>
    <w:multiLevelType w:val="hybridMultilevel"/>
    <w:tmpl w:val="D8D2ABB8"/>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917EBF"/>
    <w:multiLevelType w:val="hybridMultilevel"/>
    <w:tmpl w:val="55AABA48"/>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74036B"/>
    <w:multiLevelType w:val="hybridMultilevel"/>
    <w:tmpl w:val="B768B98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B91FA9"/>
    <w:multiLevelType w:val="multilevel"/>
    <w:tmpl w:val="93441C64"/>
    <w:styleLink w:val="Style1"/>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DD26575"/>
    <w:multiLevelType w:val="hybridMultilevel"/>
    <w:tmpl w:val="1FBCB80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FE321FE"/>
    <w:multiLevelType w:val="hybridMultilevel"/>
    <w:tmpl w:val="AF7A6A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0EB408E"/>
    <w:multiLevelType w:val="hybridMultilevel"/>
    <w:tmpl w:val="90F0B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2446DBB"/>
    <w:multiLevelType w:val="hybridMultilevel"/>
    <w:tmpl w:val="F080E90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4B80182"/>
    <w:multiLevelType w:val="hybridMultilevel"/>
    <w:tmpl w:val="093A473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57E39F9"/>
    <w:multiLevelType w:val="hybridMultilevel"/>
    <w:tmpl w:val="AB209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7764BE8"/>
    <w:multiLevelType w:val="hybridMultilevel"/>
    <w:tmpl w:val="6E7AD6B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8A809F9"/>
    <w:multiLevelType w:val="hybridMultilevel"/>
    <w:tmpl w:val="A61E6F4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8EC3FD7"/>
    <w:multiLevelType w:val="hybridMultilevel"/>
    <w:tmpl w:val="AB78CF9A"/>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9161241"/>
    <w:multiLevelType w:val="hybridMultilevel"/>
    <w:tmpl w:val="FDC64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2">
    <w:nsid w:val="4A4B68C7"/>
    <w:multiLevelType w:val="hybridMultilevel"/>
    <w:tmpl w:val="CAB888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B291E1D"/>
    <w:multiLevelType w:val="hybridMultilevel"/>
    <w:tmpl w:val="0A6668C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B9C6882"/>
    <w:multiLevelType w:val="hybridMultilevel"/>
    <w:tmpl w:val="828CC46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D255360"/>
    <w:multiLevelType w:val="hybridMultilevel"/>
    <w:tmpl w:val="9B1C1FF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E0279B7"/>
    <w:multiLevelType w:val="hybridMultilevel"/>
    <w:tmpl w:val="63867ED4"/>
    <w:lvl w:ilvl="0" w:tplc="91DE684A">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F996064"/>
    <w:multiLevelType w:val="hybridMultilevel"/>
    <w:tmpl w:val="654A341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2D167DA"/>
    <w:multiLevelType w:val="hybridMultilevel"/>
    <w:tmpl w:val="138E8570"/>
    <w:styleLink w:val="Estilo41"/>
    <w:lvl w:ilvl="0" w:tplc="5C52213A">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9">
    <w:nsid w:val="52F5497C"/>
    <w:multiLevelType w:val="hybridMultilevel"/>
    <w:tmpl w:val="A6CA239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48236ED"/>
    <w:multiLevelType w:val="hybridMultilevel"/>
    <w:tmpl w:val="B6A6723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64842F9"/>
    <w:multiLevelType w:val="hybridMultilevel"/>
    <w:tmpl w:val="0BF8A0F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65B1C1C"/>
    <w:multiLevelType w:val="hybridMultilevel"/>
    <w:tmpl w:val="1B88769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7E3644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59282185"/>
    <w:multiLevelType w:val="hybridMultilevel"/>
    <w:tmpl w:val="396C4A90"/>
    <w:lvl w:ilvl="0" w:tplc="998AEE1E">
      <w:start w:val="29"/>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9526266"/>
    <w:multiLevelType w:val="hybridMultilevel"/>
    <w:tmpl w:val="4ADC26F8"/>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9625705"/>
    <w:multiLevelType w:val="hybridMultilevel"/>
    <w:tmpl w:val="54689CA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9A672E0"/>
    <w:multiLevelType w:val="hybridMultilevel"/>
    <w:tmpl w:val="90E06D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A2E4DD6"/>
    <w:multiLevelType w:val="hybridMultilevel"/>
    <w:tmpl w:val="88AE1B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CEF165E"/>
    <w:multiLevelType w:val="hybridMultilevel"/>
    <w:tmpl w:val="92E24B02"/>
    <w:styleLink w:val="Estilo31"/>
    <w:lvl w:ilvl="0" w:tplc="6C0A3BB0">
      <w:start w:val="1"/>
      <w:numFmt w:val="bullet"/>
      <w:lvlText w:val=""/>
      <w:lvlJc w:val="left"/>
      <w:pPr>
        <w:ind w:left="720" w:hanging="360"/>
      </w:pPr>
      <w:rPr>
        <w:rFonts w:ascii="Symbol" w:hAnsi="Symbol" w:hint="default"/>
      </w:rPr>
    </w:lvl>
    <w:lvl w:ilvl="1" w:tplc="403A4E46" w:tentative="1">
      <w:start w:val="1"/>
      <w:numFmt w:val="bullet"/>
      <w:lvlText w:val="o"/>
      <w:lvlJc w:val="left"/>
      <w:pPr>
        <w:ind w:left="1440" w:hanging="360"/>
      </w:pPr>
      <w:rPr>
        <w:rFonts w:ascii="Courier New" w:hAnsi="Courier New" w:cs="Courier New" w:hint="default"/>
      </w:rPr>
    </w:lvl>
    <w:lvl w:ilvl="2" w:tplc="40963EAC" w:tentative="1">
      <w:start w:val="1"/>
      <w:numFmt w:val="bullet"/>
      <w:lvlText w:val=""/>
      <w:lvlJc w:val="left"/>
      <w:pPr>
        <w:ind w:left="2160" w:hanging="360"/>
      </w:pPr>
      <w:rPr>
        <w:rFonts w:ascii="Wingdings" w:hAnsi="Wingdings" w:hint="default"/>
      </w:rPr>
    </w:lvl>
    <w:lvl w:ilvl="3" w:tplc="B3DEC754" w:tentative="1">
      <w:start w:val="1"/>
      <w:numFmt w:val="bullet"/>
      <w:lvlText w:val=""/>
      <w:lvlJc w:val="left"/>
      <w:pPr>
        <w:ind w:left="2880" w:hanging="360"/>
      </w:pPr>
      <w:rPr>
        <w:rFonts w:ascii="Symbol" w:hAnsi="Symbol" w:hint="default"/>
      </w:rPr>
    </w:lvl>
    <w:lvl w:ilvl="4" w:tplc="6B8E9702" w:tentative="1">
      <w:start w:val="1"/>
      <w:numFmt w:val="bullet"/>
      <w:lvlText w:val="o"/>
      <w:lvlJc w:val="left"/>
      <w:pPr>
        <w:ind w:left="3600" w:hanging="360"/>
      </w:pPr>
      <w:rPr>
        <w:rFonts w:ascii="Courier New" w:hAnsi="Courier New" w:cs="Courier New" w:hint="default"/>
      </w:rPr>
    </w:lvl>
    <w:lvl w:ilvl="5" w:tplc="D7325B76" w:tentative="1">
      <w:start w:val="1"/>
      <w:numFmt w:val="bullet"/>
      <w:lvlText w:val=""/>
      <w:lvlJc w:val="left"/>
      <w:pPr>
        <w:ind w:left="4320" w:hanging="360"/>
      </w:pPr>
      <w:rPr>
        <w:rFonts w:ascii="Wingdings" w:hAnsi="Wingdings" w:hint="default"/>
      </w:rPr>
    </w:lvl>
    <w:lvl w:ilvl="6" w:tplc="539E4228" w:tentative="1">
      <w:start w:val="1"/>
      <w:numFmt w:val="bullet"/>
      <w:lvlText w:val=""/>
      <w:lvlJc w:val="left"/>
      <w:pPr>
        <w:ind w:left="5040" w:hanging="360"/>
      </w:pPr>
      <w:rPr>
        <w:rFonts w:ascii="Symbol" w:hAnsi="Symbol" w:hint="default"/>
      </w:rPr>
    </w:lvl>
    <w:lvl w:ilvl="7" w:tplc="682E18B8" w:tentative="1">
      <w:start w:val="1"/>
      <w:numFmt w:val="bullet"/>
      <w:lvlText w:val="o"/>
      <w:lvlJc w:val="left"/>
      <w:pPr>
        <w:ind w:left="5760" w:hanging="360"/>
      </w:pPr>
      <w:rPr>
        <w:rFonts w:ascii="Courier New" w:hAnsi="Courier New" w:cs="Courier New" w:hint="default"/>
      </w:rPr>
    </w:lvl>
    <w:lvl w:ilvl="8" w:tplc="91B8C21A" w:tentative="1">
      <w:start w:val="1"/>
      <w:numFmt w:val="bullet"/>
      <w:lvlText w:val=""/>
      <w:lvlJc w:val="left"/>
      <w:pPr>
        <w:ind w:left="6480" w:hanging="360"/>
      </w:pPr>
      <w:rPr>
        <w:rFonts w:ascii="Wingdings" w:hAnsi="Wingdings" w:hint="default"/>
      </w:rPr>
    </w:lvl>
  </w:abstractNum>
  <w:abstractNum w:abstractNumId="80">
    <w:nsid w:val="5F4E7869"/>
    <w:multiLevelType w:val="hybridMultilevel"/>
    <w:tmpl w:val="29889C56"/>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FB57F19"/>
    <w:multiLevelType w:val="hybridMultilevel"/>
    <w:tmpl w:val="5CE8C6D2"/>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04F0379"/>
    <w:multiLevelType w:val="hybridMultilevel"/>
    <w:tmpl w:val="B21C641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1EF4DD2"/>
    <w:multiLevelType w:val="hybridMultilevel"/>
    <w:tmpl w:val="073CD2EA"/>
    <w:lvl w:ilvl="0" w:tplc="1D6AD084">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2DA1CA6"/>
    <w:multiLevelType w:val="hybridMultilevel"/>
    <w:tmpl w:val="63A63006"/>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4AB41DE"/>
    <w:multiLevelType w:val="hybridMultilevel"/>
    <w:tmpl w:val="C4D83E58"/>
    <w:lvl w:ilvl="0" w:tplc="2DFC95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4F90175"/>
    <w:multiLevelType w:val="hybridMultilevel"/>
    <w:tmpl w:val="0388D15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811300B"/>
    <w:multiLevelType w:val="hybridMultilevel"/>
    <w:tmpl w:val="AAC263C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A0A43EB"/>
    <w:multiLevelType w:val="hybridMultilevel"/>
    <w:tmpl w:val="8242B5D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A312067"/>
    <w:multiLevelType w:val="hybridMultilevel"/>
    <w:tmpl w:val="8DC2AEA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B8C2FB9"/>
    <w:multiLevelType w:val="hybridMultilevel"/>
    <w:tmpl w:val="366AF52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BA140C9"/>
    <w:multiLevelType w:val="hybridMultilevel"/>
    <w:tmpl w:val="2D5A1D8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E4D571A"/>
    <w:multiLevelType w:val="hybridMultilevel"/>
    <w:tmpl w:val="8A544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E8F2C89"/>
    <w:multiLevelType w:val="hybridMultilevel"/>
    <w:tmpl w:val="65FA99A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EA32664"/>
    <w:multiLevelType w:val="hybridMultilevel"/>
    <w:tmpl w:val="16680C0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21856FA"/>
    <w:multiLevelType w:val="hybridMultilevel"/>
    <w:tmpl w:val="DF64809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2810E76"/>
    <w:multiLevelType w:val="hybridMultilevel"/>
    <w:tmpl w:val="DDB62CF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2A447EA"/>
    <w:multiLevelType w:val="hybridMultilevel"/>
    <w:tmpl w:val="5EBE1AA6"/>
    <w:lvl w:ilvl="0" w:tplc="080A0017">
      <w:start w:val="1"/>
      <w:numFmt w:val="lowerLetter"/>
      <w:lvlText w:val="%1)"/>
      <w:lvlJc w:val="left"/>
      <w:pPr>
        <w:ind w:left="135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46F1684"/>
    <w:multiLevelType w:val="hybridMultilevel"/>
    <w:tmpl w:val="12080F9A"/>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4971874"/>
    <w:multiLevelType w:val="hybridMultilevel"/>
    <w:tmpl w:val="A7E8030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9546F58"/>
    <w:multiLevelType w:val="hybridMultilevel"/>
    <w:tmpl w:val="1CCC35CC"/>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9DD592A"/>
    <w:multiLevelType w:val="hybridMultilevel"/>
    <w:tmpl w:val="EE7EF5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9ED52D6"/>
    <w:multiLevelType w:val="hybridMultilevel"/>
    <w:tmpl w:val="691A6BA4"/>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CAC1B36"/>
    <w:multiLevelType w:val="hybridMultilevel"/>
    <w:tmpl w:val="A2DC50E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D272454"/>
    <w:multiLevelType w:val="hybridMultilevel"/>
    <w:tmpl w:val="ABA682B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DD47596"/>
    <w:multiLevelType w:val="hybridMultilevel"/>
    <w:tmpl w:val="7624D360"/>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3"/>
  </w:num>
  <w:num w:numId="2">
    <w:abstractNumId w:val="30"/>
  </w:num>
  <w:num w:numId="3">
    <w:abstractNumId w:val="10"/>
  </w:num>
  <w:num w:numId="4">
    <w:abstractNumId w:val="43"/>
  </w:num>
  <w:num w:numId="5">
    <w:abstractNumId w:val="79"/>
  </w:num>
  <w:num w:numId="6">
    <w:abstractNumId w:val="6"/>
  </w:num>
  <w:num w:numId="7">
    <w:abstractNumId w:val="34"/>
  </w:num>
  <w:num w:numId="8">
    <w:abstractNumId w:val="51"/>
  </w:num>
  <w:num w:numId="9">
    <w:abstractNumId w:val="68"/>
  </w:num>
  <w:num w:numId="10">
    <w:abstractNumId w:val="26"/>
  </w:num>
  <w:num w:numId="11">
    <w:abstractNumId w:val="5"/>
  </w:num>
  <w:num w:numId="12">
    <w:abstractNumId w:val="61"/>
  </w:num>
  <w:num w:numId="13">
    <w:abstractNumId w:val="72"/>
  </w:num>
  <w:num w:numId="14">
    <w:abstractNumId w:val="97"/>
  </w:num>
  <w:num w:numId="15">
    <w:abstractNumId w:val="100"/>
  </w:num>
  <w:num w:numId="16">
    <w:abstractNumId w:val="35"/>
  </w:num>
  <w:num w:numId="17">
    <w:abstractNumId w:val="1"/>
  </w:num>
  <w:num w:numId="18">
    <w:abstractNumId w:val="80"/>
  </w:num>
  <w:num w:numId="19">
    <w:abstractNumId w:val="25"/>
  </w:num>
  <w:num w:numId="20">
    <w:abstractNumId w:val="20"/>
  </w:num>
  <w:num w:numId="21">
    <w:abstractNumId w:val="47"/>
  </w:num>
  <w:num w:numId="22">
    <w:abstractNumId w:val="75"/>
  </w:num>
  <w:num w:numId="23">
    <w:abstractNumId w:val="28"/>
  </w:num>
  <w:num w:numId="24">
    <w:abstractNumId w:val="92"/>
  </w:num>
  <w:num w:numId="25">
    <w:abstractNumId w:val="62"/>
  </w:num>
  <w:num w:numId="26">
    <w:abstractNumId w:val="13"/>
  </w:num>
  <w:num w:numId="27">
    <w:abstractNumId w:val="74"/>
  </w:num>
  <w:num w:numId="28">
    <w:abstractNumId w:val="16"/>
  </w:num>
  <w:num w:numId="29">
    <w:abstractNumId w:val="101"/>
  </w:num>
  <w:num w:numId="30">
    <w:abstractNumId w:val="22"/>
  </w:num>
  <w:num w:numId="31">
    <w:abstractNumId w:val="57"/>
  </w:num>
  <w:num w:numId="32">
    <w:abstractNumId w:val="14"/>
  </w:num>
  <w:num w:numId="33">
    <w:abstractNumId w:val="24"/>
  </w:num>
  <w:num w:numId="34">
    <w:abstractNumId w:val="78"/>
  </w:num>
  <w:num w:numId="35">
    <w:abstractNumId w:val="27"/>
  </w:num>
  <w:num w:numId="36">
    <w:abstractNumId w:val="98"/>
  </w:num>
  <w:num w:numId="37">
    <w:abstractNumId w:val="36"/>
  </w:num>
  <w:num w:numId="38">
    <w:abstractNumId w:val="102"/>
  </w:num>
  <w:num w:numId="39">
    <w:abstractNumId w:val="7"/>
  </w:num>
  <w:num w:numId="40">
    <w:abstractNumId w:val="84"/>
  </w:num>
  <w:num w:numId="41">
    <w:abstractNumId w:val="81"/>
  </w:num>
  <w:num w:numId="42">
    <w:abstractNumId w:val="83"/>
  </w:num>
  <w:num w:numId="43">
    <w:abstractNumId w:val="32"/>
  </w:num>
  <w:num w:numId="44">
    <w:abstractNumId w:val="66"/>
  </w:num>
  <w:num w:numId="45">
    <w:abstractNumId w:val="29"/>
  </w:num>
  <w:num w:numId="46">
    <w:abstractNumId w:val="18"/>
  </w:num>
  <w:num w:numId="47">
    <w:abstractNumId w:val="38"/>
  </w:num>
  <w:num w:numId="48">
    <w:abstractNumId w:val="88"/>
  </w:num>
  <w:num w:numId="49">
    <w:abstractNumId w:val="21"/>
  </w:num>
  <w:num w:numId="50">
    <w:abstractNumId w:val="77"/>
  </w:num>
  <w:num w:numId="51">
    <w:abstractNumId w:val="15"/>
  </w:num>
  <w:num w:numId="52">
    <w:abstractNumId w:val="90"/>
  </w:num>
  <w:num w:numId="53">
    <w:abstractNumId w:val="4"/>
  </w:num>
  <w:num w:numId="54">
    <w:abstractNumId w:val="56"/>
  </w:num>
  <w:num w:numId="55">
    <w:abstractNumId w:val="44"/>
  </w:num>
  <w:num w:numId="56">
    <w:abstractNumId w:val="50"/>
  </w:num>
  <w:num w:numId="57">
    <w:abstractNumId w:val="99"/>
  </w:num>
  <w:num w:numId="58">
    <w:abstractNumId w:val="54"/>
  </w:num>
  <w:num w:numId="59">
    <w:abstractNumId w:val="9"/>
  </w:num>
  <w:num w:numId="60">
    <w:abstractNumId w:val="11"/>
  </w:num>
  <w:num w:numId="61">
    <w:abstractNumId w:val="12"/>
  </w:num>
  <w:num w:numId="62">
    <w:abstractNumId w:val="45"/>
  </w:num>
  <w:num w:numId="63">
    <w:abstractNumId w:val="39"/>
  </w:num>
  <w:num w:numId="64">
    <w:abstractNumId w:val="60"/>
  </w:num>
  <w:num w:numId="65">
    <w:abstractNumId w:val="86"/>
  </w:num>
  <w:num w:numId="66">
    <w:abstractNumId w:val="48"/>
  </w:num>
  <w:num w:numId="67">
    <w:abstractNumId w:val="19"/>
  </w:num>
  <w:num w:numId="68">
    <w:abstractNumId w:val="31"/>
  </w:num>
  <w:num w:numId="69">
    <w:abstractNumId w:val="103"/>
  </w:num>
  <w:num w:numId="70">
    <w:abstractNumId w:val="23"/>
  </w:num>
  <w:num w:numId="71">
    <w:abstractNumId w:val="64"/>
  </w:num>
  <w:num w:numId="72">
    <w:abstractNumId w:val="41"/>
  </w:num>
  <w:num w:numId="73">
    <w:abstractNumId w:val="0"/>
  </w:num>
  <w:num w:numId="74">
    <w:abstractNumId w:val="55"/>
  </w:num>
  <w:num w:numId="75">
    <w:abstractNumId w:val="33"/>
  </w:num>
  <w:num w:numId="76">
    <w:abstractNumId w:val="70"/>
  </w:num>
  <w:num w:numId="77">
    <w:abstractNumId w:val="104"/>
  </w:num>
  <w:num w:numId="78">
    <w:abstractNumId w:val="91"/>
  </w:num>
  <w:num w:numId="79">
    <w:abstractNumId w:val="58"/>
  </w:num>
  <w:num w:numId="80">
    <w:abstractNumId w:val="65"/>
  </w:num>
  <w:num w:numId="81">
    <w:abstractNumId w:val="63"/>
  </w:num>
  <w:num w:numId="82">
    <w:abstractNumId w:val="87"/>
  </w:num>
  <w:num w:numId="83">
    <w:abstractNumId w:val="17"/>
  </w:num>
  <w:num w:numId="84">
    <w:abstractNumId w:val="37"/>
  </w:num>
  <w:num w:numId="85">
    <w:abstractNumId w:val="93"/>
  </w:num>
  <w:num w:numId="86">
    <w:abstractNumId w:val="40"/>
  </w:num>
  <w:num w:numId="87">
    <w:abstractNumId w:val="71"/>
  </w:num>
  <w:num w:numId="88">
    <w:abstractNumId w:val="3"/>
  </w:num>
  <w:num w:numId="89">
    <w:abstractNumId w:val="76"/>
  </w:num>
  <w:num w:numId="90">
    <w:abstractNumId w:val="2"/>
  </w:num>
  <w:num w:numId="91">
    <w:abstractNumId w:val="67"/>
  </w:num>
  <w:num w:numId="92">
    <w:abstractNumId w:val="82"/>
  </w:num>
  <w:num w:numId="93">
    <w:abstractNumId w:val="42"/>
  </w:num>
  <w:num w:numId="94">
    <w:abstractNumId w:val="59"/>
  </w:num>
  <w:num w:numId="95">
    <w:abstractNumId w:val="95"/>
  </w:num>
  <w:num w:numId="96">
    <w:abstractNumId w:val="96"/>
  </w:num>
  <w:num w:numId="97">
    <w:abstractNumId w:val="52"/>
  </w:num>
  <w:num w:numId="98">
    <w:abstractNumId w:val="69"/>
  </w:num>
  <w:num w:numId="99">
    <w:abstractNumId w:val="8"/>
  </w:num>
  <w:num w:numId="100">
    <w:abstractNumId w:val="89"/>
  </w:num>
  <w:num w:numId="101">
    <w:abstractNumId w:val="49"/>
  </w:num>
  <w:num w:numId="102">
    <w:abstractNumId w:val="53"/>
  </w:num>
  <w:num w:numId="103">
    <w:abstractNumId w:val="46"/>
  </w:num>
  <w:num w:numId="104">
    <w:abstractNumId w:val="105"/>
  </w:num>
  <w:num w:numId="105">
    <w:abstractNumId w:val="94"/>
  </w:num>
  <w:num w:numId="106">
    <w:abstractNumId w:val="8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69"/>
    <w:rsid w:val="000B62A2"/>
    <w:rsid w:val="00381791"/>
    <w:rsid w:val="006455E2"/>
    <w:rsid w:val="00810F69"/>
    <w:rsid w:val="00E00B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0F69"/>
    <w:rPr>
      <w:rFonts w:ascii="Calibri" w:eastAsia="Calibri" w:hAnsi="Calibri" w:cs="Times New Roman"/>
    </w:rPr>
  </w:style>
  <w:style w:type="paragraph" w:styleId="Heading1">
    <w:name w:val="heading 1"/>
    <w:basedOn w:val="Normal"/>
    <w:next w:val="Normal"/>
    <w:link w:val="Heading1Char"/>
    <w:qFormat/>
    <w:rsid w:val="00810F69"/>
    <w:pPr>
      <w:keepNext/>
      <w:spacing w:after="0" w:line="240" w:lineRule="auto"/>
      <w:outlineLvl w:val="0"/>
    </w:pPr>
    <w:rPr>
      <w:rFonts w:ascii="Times New Roman" w:hAnsi="Times New Roman"/>
      <w:b/>
      <w:bCs/>
      <w:sz w:val="24"/>
      <w:szCs w:val="24"/>
      <w:lang w:val="es-ES" w:eastAsia="es-ES"/>
    </w:rPr>
  </w:style>
  <w:style w:type="paragraph" w:styleId="Heading2">
    <w:name w:val="heading 2"/>
    <w:basedOn w:val="Normal"/>
    <w:next w:val="Normal"/>
    <w:link w:val="Heading2Char"/>
    <w:qFormat/>
    <w:rsid w:val="00810F69"/>
    <w:pPr>
      <w:keepNext/>
      <w:spacing w:after="0" w:line="240" w:lineRule="auto"/>
      <w:ind w:left="540" w:hanging="12"/>
      <w:jc w:val="center"/>
      <w:outlineLvl w:val="1"/>
    </w:pPr>
    <w:rPr>
      <w:rFonts w:ascii="Century" w:hAnsi="Century"/>
      <w:b/>
      <w:sz w:val="24"/>
      <w:szCs w:val="24"/>
      <w:lang w:val="es-ES" w:eastAsia="es-ES"/>
    </w:rPr>
  </w:style>
  <w:style w:type="paragraph" w:styleId="Heading3">
    <w:name w:val="heading 3"/>
    <w:basedOn w:val="Normal"/>
    <w:next w:val="Normal"/>
    <w:link w:val="Heading3Char"/>
    <w:qFormat/>
    <w:rsid w:val="00810F69"/>
    <w:pPr>
      <w:keepNext/>
      <w:spacing w:after="0" w:line="240" w:lineRule="auto"/>
      <w:jc w:val="center"/>
      <w:outlineLvl w:val="2"/>
    </w:pPr>
    <w:rPr>
      <w:rFonts w:ascii="Times New Roman" w:hAnsi="Times New Roman"/>
      <w:b/>
      <w:bCs/>
      <w:sz w:val="15"/>
      <w:szCs w:val="15"/>
      <w:lang w:val="es-ES" w:eastAsia="es-ES"/>
    </w:rPr>
  </w:style>
  <w:style w:type="paragraph" w:styleId="Heading4">
    <w:name w:val="heading 4"/>
    <w:basedOn w:val="Normal"/>
    <w:next w:val="Normal"/>
    <w:link w:val="Heading4Char"/>
    <w:uiPriority w:val="9"/>
    <w:qFormat/>
    <w:rsid w:val="00810F69"/>
    <w:pPr>
      <w:keepNext/>
      <w:spacing w:after="0" w:line="240" w:lineRule="auto"/>
      <w:jc w:val="both"/>
      <w:outlineLvl w:val="3"/>
    </w:pPr>
    <w:rPr>
      <w:rFonts w:ascii="Times New Roman" w:eastAsia="Times New Roman" w:hAnsi="Times New Roman"/>
      <w:b/>
      <w:bCs/>
      <w:sz w:val="20"/>
      <w:szCs w:val="24"/>
      <w:lang w:val="es-ES" w:eastAsia="es-ES"/>
    </w:rPr>
  </w:style>
  <w:style w:type="paragraph" w:styleId="Heading5">
    <w:name w:val="heading 5"/>
    <w:basedOn w:val="Normal"/>
    <w:next w:val="Normal"/>
    <w:link w:val="Heading5Char"/>
    <w:qFormat/>
    <w:rsid w:val="00810F69"/>
    <w:pPr>
      <w:keepNext/>
      <w:spacing w:after="0" w:line="264" w:lineRule="auto"/>
      <w:outlineLvl w:val="4"/>
    </w:pPr>
    <w:rPr>
      <w:rFonts w:ascii="Arial" w:hAnsi="Arial"/>
      <w:b/>
      <w:bCs/>
      <w:sz w:val="18"/>
      <w:szCs w:val="18"/>
      <w:lang w:val="es-ES_tradnl" w:eastAsia="es-ES"/>
    </w:rPr>
  </w:style>
  <w:style w:type="paragraph" w:styleId="Heading6">
    <w:name w:val="heading 6"/>
    <w:basedOn w:val="Normal"/>
    <w:next w:val="Normal"/>
    <w:link w:val="Heading6Char"/>
    <w:qFormat/>
    <w:rsid w:val="00810F69"/>
    <w:pPr>
      <w:keepNext/>
      <w:spacing w:after="0" w:line="264" w:lineRule="auto"/>
      <w:outlineLvl w:val="5"/>
    </w:pPr>
    <w:rPr>
      <w:rFonts w:ascii="Arial" w:eastAsia="Times New Roman" w:hAnsi="Arial"/>
      <w:b/>
      <w:sz w:val="14"/>
      <w:szCs w:val="20"/>
      <w:lang w:val="es-ES_tradnl" w:eastAsia="es-ES"/>
    </w:rPr>
  </w:style>
  <w:style w:type="paragraph" w:styleId="Heading7">
    <w:name w:val="heading 7"/>
    <w:basedOn w:val="Normal"/>
    <w:next w:val="Normal"/>
    <w:link w:val="Heading7Char"/>
    <w:qFormat/>
    <w:rsid w:val="00810F69"/>
    <w:pPr>
      <w:keepNext/>
      <w:spacing w:before="120" w:after="0" w:line="240" w:lineRule="auto"/>
      <w:jc w:val="center"/>
      <w:outlineLvl w:val="6"/>
    </w:pPr>
    <w:rPr>
      <w:rFonts w:ascii="Century" w:hAnsi="Century"/>
      <w:b/>
      <w:bCs/>
      <w:sz w:val="24"/>
      <w:szCs w:val="24"/>
      <w:lang w:val="es-ES" w:eastAsia="es-ES"/>
    </w:rPr>
  </w:style>
  <w:style w:type="paragraph" w:styleId="Heading8">
    <w:name w:val="heading 8"/>
    <w:basedOn w:val="Normal"/>
    <w:next w:val="Normal"/>
    <w:link w:val="Heading8Char"/>
    <w:qFormat/>
    <w:rsid w:val="00810F69"/>
    <w:pPr>
      <w:keepNext/>
      <w:spacing w:after="0" w:line="240" w:lineRule="auto"/>
      <w:jc w:val="center"/>
      <w:outlineLvl w:val="7"/>
    </w:pPr>
    <w:rPr>
      <w:rFonts w:ascii="Times New Roman" w:hAnsi="Times New Roman"/>
      <w:b/>
      <w:bCs/>
      <w:sz w:val="24"/>
      <w:szCs w:val="24"/>
      <w:lang w:val="es-ES" w:eastAsia="es-ES"/>
    </w:rPr>
  </w:style>
  <w:style w:type="paragraph" w:styleId="Heading9">
    <w:name w:val="heading 9"/>
    <w:basedOn w:val="Normal"/>
    <w:next w:val="Normal"/>
    <w:link w:val="Heading9Char"/>
    <w:qFormat/>
    <w:rsid w:val="00810F69"/>
    <w:pPr>
      <w:keepNext/>
      <w:spacing w:before="120" w:after="120" w:line="240" w:lineRule="auto"/>
      <w:jc w:val="center"/>
      <w:outlineLvl w:val="8"/>
    </w:pPr>
    <w:rPr>
      <w:rFonts w:ascii="Arial" w:hAnsi="Arial"/>
      <w:b/>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F69"/>
    <w:rPr>
      <w:rFonts w:ascii="Times New Roman" w:eastAsia="Calibri" w:hAnsi="Times New Roman" w:cs="Times New Roman"/>
      <w:b/>
      <w:bCs/>
      <w:sz w:val="24"/>
      <w:szCs w:val="24"/>
      <w:lang w:val="es-ES" w:eastAsia="es-ES"/>
    </w:rPr>
  </w:style>
  <w:style w:type="character" w:customStyle="1" w:styleId="Heading2Char">
    <w:name w:val="Heading 2 Char"/>
    <w:basedOn w:val="DefaultParagraphFont"/>
    <w:link w:val="Heading2"/>
    <w:rsid w:val="00810F69"/>
    <w:rPr>
      <w:rFonts w:ascii="Century" w:eastAsia="Calibri" w:hAnsi="Century" w:cs="Times New Roman"/>
      <w:b/>
      <w:sz w:val="24"/>
      <w:szCs w:val="24"/>
      <w:lang w:val="es-ES" w:eastAsia="es-ES"/>
    </w:rPr>
  </w:style>
  <w:style w:type="character" w:customStyle="1" w:styleId="Heading3Char">
    <w:name w:val="Heading 3 Char"/>
    <w:basedOn w:val="DefaultParagraphFont"/>
    <w:link w:val="Heading3"/>
    <w:rsid w:val="00810F69"/>
    <w:rPr>
      <w:rFonts w:ascii="Times New Roman" w:eastAsia="Calibri" w:hAnsi="Times New Roman" w:cs="Times New Roman"/>
      <w:b/>
      <w:bCs/>
      <w:sz w:val="15"/>
      <w:szCs w:val="15"/>
      <w:lang w:val="es-ES" w:eastAsia="es-ES"/>
    </w:rPr>
  </w:style>
  <w:style w:type="character" w:customStyle="1" w:styleId="Heading4Char">
    <w:name w:val="Heading 4 Char"/>
    <w:basedOn w:val="DefaultParagraphFont"/>
    <w:link w:val="Heading4"/>
    <w:uiPriority w:val="9"/>
    <w:rsid w:val="00810F69"/>
    <w:rPr>
      <w:rFonts w:ascii="Times New Roman" w:eastAsia="Times New Roman" w:hAnsi="Times New Roman" w:cs="Times New Roman"/>
      <w:b/>
      <w:bCs/>
      <w:sz w:val="20"/>
      <w:szCs w:val="24"/>
      <w:lang w:val="es-ES" w:eastAsia="es-ES"/>
    </w:rPr>
  </w:style>
  <w:style w:type="character" w:customStyle="1" w:styleId="Heading5Char">
    <w:name w:val="Heading 5 Char"/>
    <w:basedOn w:val="DefaultParagraphFont"/>
    <w:link w:val="Heading5"/>
    <w:rsid w:val="00810F69"/>
    <w:rPr>
      <w:rFonts w:ascii="Arial" w:eastAsia="Calibri" w:hAnsi="Arial" w:cs="Times New Roman"/>
      <w:b/>
      <w:bCs/>
      <w:sz w:val="18"/>
      <w:szCs w:val="18"/>
      <w:lang w:val="es-ES_tradnl" w:eastAsia="es-ES"/>
    </w:rPr>
  </w:style>
  <w:style w:type="character" w:customStyle="1" w:styleId="Heading6Char">
    <w:name w:val="Heading 6 Char"/>
    <w:basedOn w:val="DefaultParagraphFont"/>
    <w:link w:val="Heading6"/>
    <w:rsid w:val="00810F69"/>
    <w:rPr>
      <w:rFonts w:ascii="Arial" w:eastAsia="Times New Roman" w:hAnsi="Arial" w:cs="Times New Roman"/>
      <w:b/>
      <w:sz w:val="14"/>
      <w:szCs w:val="20"/>
      <w:lang w:val="es-ES_tradnl" w:eastAsia="es-ES"/>
    </w:rPr>
  </w:style>
  <w:style w:type="character" w:customStyle="1" w:styleId="Heading7Char">
    <w:name w:val="Heading 7 Char"/>
    <w:basedOn w:val="DefaultParagraphFont"/>
    <w:link w:val="Heading7"/>
    <w:rsid w:val="00810F69"/>
    <w:rPr>
      <w:rFonts w:ascii="Century" w:eastAsia="Calibri" w:hAnsi="Century" w:cs="Times New Roman"/>
      <w:b/>
      <w:bCs/>
      <w:sz w:val="24"/>
      <w:szCs w:val="24"/>
      <w:lang w:val="es-ES" w:eastAsia="es-ES"/>
    </w:rPr>
  </w:style>
  <w:style w:type="character" w:customStyle="1" w:styleId="Heading8Char">
    <w:name w:val="Heading 8 Char"/>
    <w:basedOn w:val="DefaultParagraphFont"/>
    <w:link w:val="Heading8"/>
    <w:rsid w:val="00810F69"/>
    <w:rPr>
      <w:rFonts w:ascii="Times New Roman" w:eastAsia="Calibri" w:hAnsi="Times New Roman" w:cs="Times New Roman"/>
      <w:b/>
      <w:bCs/>
      <w:sz w:val="24"/>
      <w:szCs w:val="24"/>
      <w:lang w:val="es-ES" w:eastAsia="es-ES"/>
    </w:rPr>
  </w:style>
  <w:style w:type="character" w:customStyle="1" w:styleId="Heading9Char">
    <w:name w:val="Heading 9 Char"/>
    <w:basedOn w:val="DefaultParagraphFont"/>
    <w:link w:val="Heading9"/>
    <w:rsid w:val="00810F69"/>
    <w:rPr>
      <w:rFonts w:ascii="Arial" w:eastAsia="Calibri" w:hAnsi="Arial" w:cs="Times New Roman"/>
      <w:b/>
      <w:sz w:val="24"/>
      <w:szCs w:val="24"/>
      <w:lang w:val="es-ES" w:eastAsia="es-ES"/>
    </w:rPr>
  </w:style>
  <w:style w:type="paragraph" w:styleId="NoSpacing">
    <w:name w:val="No Spacing"/>
    <w:uiPriority w:val="1"/>
    <w:qFormat/>
    <w:rsid w:val="00810F6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0F69"/>
    <w:pPr>
      <w:tabs>
        <w:tab w:val="center" w:pos="4419"/>
        <w:tab w:val="right" w:pos="8838"/>
      </w:tabs>
    </w:pPr>
    <w:rPr>
      <w:sz w:val="20"/>
      <w:szCs w:val="20"/>
    </w:rPr>
  </w:style>
  <w:style w:type="character" w:customStyle="1" w:styleId="HeaderChar">
    <w:name w:val="Header Char"/>
    <w:basedOn w:val="DefaultParagraphFont"/>
    <w:link w:val="Header"/>
    <w:uiPriority w:val="99"/>
    <w:rsid w:val="00810F69"/>
    <w:rPr>
      <w:rFonts w:ascii="Calibri" w:eastAsia="Calibri" w:hAnsi="Calibri" w:cs="Times New Roman"/>
      <w:sz w:val="20"/>
      <w:szCs w:val="20"/>
    </w:rPr>
  </w:style>
  <w:style w:type="character" w:styleId="Strong">
    <w:name w:val="Strong"/>
    <w:uiPriority w:val="22"/>
    <w:qFormat/>
    <w:rsid w:val="00810F69"/>
    <w:rPr>
      <w:b/>
      <w:bCs/>
    </w:rPr>
  </w:style>
  <w:style w:type="paragraph" w:styleId="BodyText2">
    <w:name w:val="Body Text 2"/>
    <w:basedOn w:val="Normal"/>
    <w:link w:val="BodyText2Char"/>
    <w:uiPriority w:val="99"/>
    <w:rsid w:val="00810F69"/>
    <w:pPr>
      <w:spacing w:after="0" w:line="240" w:lineRule="auto"/>
    </w:pPr>
    <w:rPr>
      <w:rFonts w:ascii="Arial" w:eastAsia="Times New Roman" w:hAnsi="Arial"/>
      <w:sz w:val="24"/>
      <w:szCs w:val="10"/>
      <w:lang w:val="es-ES" w:eastAsia="es-ES"/>
    </w:rPr>
  </w:style>
  <w:style w:type="character" w:customStyle="1" w:styleId="BodyText2Char">
    <w:name w:val="Body Text 2 Char"/>
    <w:basedOn w:val="DefaultParagraphFont"/>
    <w:link w:val="BodyText2"/>
    <w:uiPriority w:val="99"/>
    <w:rsid w:val="00810F69"/>
    <w:rPr>
      <w:rFonts w:ascii="Arial" w:eastAsia="Times New Roman" w:hAnsi="Arial" w:cs="Times New Roman"/>
      <w:sz w:val="24"/>
      <w:szCs w:val="10"/>
      <w:lang w:val="es-ES" w:eastAsia="es-ES"/>
    </w:rPr>
  </w:style>
  <w:style w:type="paragraph" w:styleId="Footer">
    <w:name w:val="footer"/>
    <w:basedOn w:val="Normal"/>
    <w:link w:val="FooterChar"/>
    <w:uiPriority w:val="99"/>
    <w:unhideWhenUsed/>
    <w:rsid w:val="00810F69"/>
    <w:pPr>
      <w:tabs>
        <w:tab w:val="center" w:pos="4419"/>
        <w:tab w:val="right" w:pos="8838"/>
      </w:tabs>
    </w:pPr>
  </w:style>
  <w:style w:type="character" w:customStyle="1" w:styleId="FooterChar">
    <w:name w:val="Footer Char"/>
    <w:basedOn w:val="DefaultParagraphFont"/>
    <w:link w:val="Footer"/>
    <w:uiPriority w:val="99"/>
    <w:rsid w:val="00810F69"/>
    <w:rPr>
      <w:rFonts w:ascii="Calibri" w:eastAsia="Calibri" w:hAnsi="Calibri" w:cs="Times New Roman"/>
    </w:rPr>
  </w:style>
  <w:style w:type="paragraph" w:styleId="BalloonText">
    <w:name w:val="Balloon Text"/>
    <w:basedOn w:val="Normal"/>
    <w:link w:val="BalloonTextChar"/>
    <w:uiPriority w:val="99"/>
    <w:unhideWhenUsed/>
    <w:rsid w:val="00810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0F69"/>
    <w:rPr>
      <w:rFonts w:ascii="Segoe UI" w:eastAsia="Calibri" w:hAnsi="Segoe UI" w:cs="Segoe UI"/>
      <w:sz w:val="18"/>
      <w:szCs w:val="18"/>
    </w:rPr>
  </w:style>
  <w:style w:type="paragraph" w:styleId="ListBullet">
    <w:name w:val="List Bullet"/>
    <w:basedOn w:val="Normal"/>
    <w:uiPriority w:val="99"/>
    <w:unhideWhenUsed/>
    <w:rsid w:val="00810F69"/>
    <w:pPr>
      <w:tabs>
        <w:tab w:val="num" w:pos="360"/>
      </w:tabs>
      <w:spacing w:after="0" w:line="240" w:lineRule="auto"/>
      <w:ind w:left="360" w:hanging="360"/>
      <w:contextualSpacing/>
    </w:pPr>
    <w:rPr>
      <w:rFonts w:ascii="Times New Roman" w:eastAsia="Times New Roman" w:hAnsi="Times New Roman"/>
      <w:sz w:val="24"/>
      <w:szCs w:val="24"/>
      <w:lang w:val="es-ES" w:eastAsia="es-ES"/>
    </w:rPr>
  </w:style>
  <w:style w:type="paragraph" w:styleId="ListParagraph">
    <w:name w:val="List Paragraph"/>
    <w:basedOn w:val="Normal"/>
    <w:link w:val="ListParagraphChar"/>
    <w:uiPriority w:val="34"/>
    <w:qFormat/>
    <w:rsid w:val="00810F69"/>
    <w:pPr>
      <w:spacing w:after="0" w:line="240" w:lineRule="auto"/>
      <w:ind w:left="708"/>
    </w:pPr>
    <w:rPr>
      <w:rFonts w:ascii="Times New Roman" w:eastAsia="Times New Roman" w:hAnsi="Times New Roman"/>
      <w:sz w:val="24"/>
      <w:szCs w:val="24"/>
      <w:lang w:val="es-ES" w:eastAsia="es-ES"/>
    </w:rPr>
  </w:style>
  <w:style w:type="character" w:customStyle="1" w:styleId="ListParagraphChar">
    <w:name w:val="List Paragraph Char"/>
    <w:link w:val="ListParagraph"/>
    <w:uiPriority w:val="34"/>
    <w:locked/>
    <w:rsid w:val="00810F69"/>
    <w:rPr>
      <w:rFonts w:ascii="Times New Roman" w:eastAsia="Times New Roman" w:hAnsi="Times New Roman" w:cs="Times New Roman"/>
      <w:sz w:val="24"/>
      <w:szCs w:val="24"/>
      <w:lang w:val="es-ES" w:eastAsia="es-ES"/>
    </w:rPr>
  </w:style>
  <w:style w:type="paragraph" w:styleId="NormalWeb">
    <w:name w:val="Normal (Web)"/>
    <w:basedOn w:val="Normal"/>
    <w:uiPriority w:val="99"/>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1">
    <w:name w:val="p1"/>
    <w:basedOn w:val="Normal"/>
    <w:rsid w:val="00810F69"/>
    <w:pPr>
      <w:spacing w:after="120" w:line="240" w:lineRule="auto"/>
      <w:ind w:left="540" w:right="18"/>
      <w:jc w:val="both"/>
    </w:pPr>
    <w:rPr>
      <w:rFonts w:ascii="Times New Roman" w:eastAsia="Times New Roman" w:hAnsi="Times New Roman"/>
      <w:sz w:val="20"/>
      <w:szCs w:val="20"/>
      <w:lang w:val="es-ES" w:eastAsia="es-ES"/>
    </w:rPr>
  </w:style>
  <w:style w:type="paragraph" w:styleId="BodyText">
    <w:name w:val="Body Text"/>
    <w:basedOn w:val="Normal"/>
    <w:link w:val="BodyTextChar"/>
    <w:qFormat/>
    <w:rsid w:val="00810F69"/>
    <w:pPr>
      <w:spacing w:after="0" w:line="240" w:lineRule="auto"/>
      <w:jc w:val="both"/>
    </w:pPr>
    <w:rPr>
      <w:rFonts w:ascii="Times New Roman" w:hAnsi="Times New Roman"/>
      <w:sz w:val="20"/>
      <w:szCs w:val="20"/>
      <w:lang w:val="es-ES" w:eastAsia="es-ES"/>
    </w:rPr>
  </w:style>
  <w:style w:type="character" w:customStyle="1" w:styleId="BodyTextChar">
    <w:name w:val="Body Text Char"/>
    <w:basedOn w:val="DefaultParagraphFont"/>
    <w:link w:val="BodyText"/>
    <w:rsid w:val="00810F69"/>
    <w:rPr>
      <w:rFonts w:ascii="Times New Roman" w:eastAsia="Calibri" w:hAnsi="Times New Roman" w:cs="Times New Roman"/>
      <w:sz w:val="20"/>
      <w:szCs w:val="20"/>
      <w:lang w:val="es-ES" w:eastAsia="es-ES"/>
    </w:rPr>
  </w:style>
  <w:style w:type="paragraph" w:customStyle="1" w:styleId="ro">
    <w:name w:val="ro"/>
    <w:basedOn w:val="Normal"/>
    <w:autoRedefine/>
    <w:rsid w:val="00810F69"/>
    <w:pPr>
      <w:spacing w:after="0" w:line="240" w:lineRule="auto"/>
      <w:jc w:val="both"/>
    </w:pPr>
    <w:rPr>
      <w:rFonts w:ascii="Arial" w:eastAsia="Times New Roman" w:hAnsi="Arial" w:cs="Arial"/>
      <w:bCs/>
      <w:color w:val="0070C0"/>
      <w:lang w:eastAsia="es-ES"/>
    </w:rPr>
  </w:style>
  <w:style w:type="paragraph" w:customStyle="1" w:styleId="P2">
    <w:name w:val="P2"/>
    <w:basedOn w:val="Normal"/>
    <w:rsid w:val="00810F69"/>
    <w:pPr>
      <w:spacing w:after="120" w:line="240" w:lineRule="auto"/>
      <w:ind w:left="539"/>
      <w:jc w:val="both"/>
    </w:pPr>
    <w:rPr>
      <w:rFonts w:ascii="Century" w:eastAsia="Times New Roman" w:hAnsi="Century"/>
      <w:szCs w:val="24"/>
      <w:lang w:val="es-ES" w:eastAsia="es-ES"/>
    </w:rPr>
  </w:style>
  <w:style w:type="paragraph" w:customStyle="1" w:styleId="centrado">
    <w:name w:val="centrado"/>
    <w:basedOn w:val="Normal"/>
    <w:uiPriority w:val="99"/>
    <w:rsid w:val="00810F69"/>
    <w:pPr>
      <w:snapToGrid w:val="0"/>
      <w:spacing w:after="240" w:line="240" w:lineRule="auto"/>
      <w:jc w:val="center"/>
    </w:pPr>
    <w:rPr>
      <w:rFonts w:ascii="Times New Roman" w:eastAsia="Times New Roman" w:hAnsi="Times New Roman"/>
      <w:b/>
      <w:bCs/>
      <w:lang w:val="es-ES" w:eastAsia="es-ES"/>
    </w:rPr>
  </w:style>
  <w:style w:type="paragraph" w:customStyle="1" w:styleId="parrafo">
    <w:name w:val="parrafo"/>
    <w:basedOn w:val="Normal"/>
    <w:uiPriority w:val="99"/>
    <w:rsid w:val="00810F69"/>
    <w:pPr>
      <w:snapToGrid w:val="0"/>
      <w:spacing w:after="240" w:line="240" w:lineRule="auto"/>
      <w:jc w:val="both"/>
    </w:pPr>
    <w:rPr>
      <w:rFonts w:ascii="Times New Roman" w:eastAsia="Times New Roman" w:hAnsi="Times New Roman"/>
      <w:sz w:val="20"/>
      <w:szCs w:val="20"/>
      <w:lang w:val="es-ES" w:eastAsia="es-ES"/>
    </w:rPr>
  </w:style>
  <w:style w:type="paragraph" w:customStyle="1" w:styleId="text-incisos">
    <w:name w:val="text-incisos"/>
    <w:basedOn w:val="Normal"/>
    <w:uiPriority w:val="99"/>
    <w:rsid w:val="00810F69"/>
    <w:pPr>
      <w:widowControl w:val="0"/>
      <w:numPr>
        <w:ilvl w:val="12"/>
      </w:numPr>
      <w:spacing w:after="240" w:line="360" w:lineRule="auto"/>
      <w:ind w:left="1701"/>
      <w:jc w:val="both"/>
    </w:pPr>
    <w:rPr>
      <w:rFonts w:ascii="Times New Roman" w:eastAsia="Times New Roman" w:hAnsi="Times New Roman"/>
      <w:sz w:val="24"/>
      <w:szCs w:val="20"/>
      <w:lang w:val="es-ES_tradnl" w:eastAsia="es-ES"/>
    </w:rPr>
  </w:style>
  <w:style w:type="paragraph" w:customStyle="1" w:styleId="TA">
    <w:name w:val="TA"/>
    <w:basedOn w:val="Normal"/>
    <w:rsid w:val="00810F69"/>
    <w:pPr>
      <w:spacing w:after="0" w:line="240" w:lineRule="auto"/>
    </w:pPr>
    <w:rPr>
      <w:rFonts w:ascii="CG Omega" w:eastAsia="Times New Roman" w:hAnsi="CG Omega"/>
      <w:bCs/>
      <w:sz w:val="16"/>
      <w:szCs w:val="20"/>
      <w:lang w:val="es-ES_tradnl" w:eastAsia="es-ES"/>
    </w:rPr>
  </w:style>
  <w:style w:type="paragraph" w:customStyle="1" w:styleId="uno">
    <w:name w:val="uno"/>
    <w:basedOn w:val="Normal"/>
    <w:rsid w:val="00810F69"/>
    <w:pPr>
      <w:tabs>
        <w:tab w:val="num" w:pos="1260"/>
      </w:tabs>
      <w:spacing w:after="120" w:line="240" w:lineRule="auto"/>
      <w:ind w:left="1260" w:hanging="720"/>
    </w:pPr>
    <w:rPr>
      <w:rFonts w:ascii="Century" w:eastAsia="Times New Roman" w:hAnsi="Century"/>
      <w:b/>
      <w:bCs/>
      <w:szCs w:val="24"/>
      <w:lang w:val="es-ES" w:eastAsia="es-ES"/>
    </w:rPr>
  </w:style>
  <w:style w:type="paragraph" w:customStyle="1" w:styleId="a">
    <w:name w:val="a"/>
    <w:basedOn w:val="uno"/>
    <w:rsid w:val="00810F69"/>
    <w:pPr>
      <w:tabs>
        <w:tab w:val="clear" w:pos="1260"/>
        <w:tab w:val="num" w:pos="1751"/>
      </w:tabs>
      <w:ind w:left="1751" w:hanging="851"/>
      <w:jc w:val="both"/>
    </w:pPr>
    <w:rPr>
      <w:lang w:val="es-MX"/>
    </w:rPr>
  </w:style>
  <w:style w:type="paragraph" w:customStyle="1" w:styleId="A0">
    <w:name w:val="A"/>
    <w:basedOn w:val="Normal"/>
    <w:rsid w:val="00810F69"/>
    <w:pPr>
      <w:spacing w:after="120" w:line="360" w:lineRule="auto"/>
      <w:jc w:val="both"/>
    </w:pPr>
    <w:rPr>
      <w:rFonts w:ascii="Times New Roman" w:eastAsia="Times New Roman" w:hAnsi="Times New Roman"/>
      <w:szCs w:val="20"/>
      <w:lang w:eastAsia="es-ES"/>
    </w:rPr>
  </w:style>
  <w:style w:type="paragraph" w:customStyle="1" w:styleId="xl29">
    <w:name w:val="xl29"/>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lang w:val="es-ES" w:eastAsia="es-ES"/>
    </w:rPr>
  </w:style>
  <w:style w:type="paragraph" w:customStyle="1" w:styleId="N">
    <w:name w:val="N"/>
    <w:basedOn w:val="p1"/>
    <w:rsid w:val="00810F69"/>
    <w:pPr>
      <w:ind w:left="539" w:right="0"/>
    </w:pPr>
    <w:rPr>
      <w:rFonts w:ascii="Century" w:hAnsi="Century"/>
      <w:b/>
      <w:bCs/>
      <w:sz w:val="22"/>
    </w:rPr>
  </w:style>
  <w:style w:type="paragraph" w:customStyle="1" w:styleId="xl25">
    <w:name w:val="xl25"/>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16"/>
      <w:szCs w:val="16"/>
      <w:lang w:val="es-ES" w:eastAsia="es-ES"/>
    </w:rPr>
  </w:style>
  <w:style w:type="paragraph" w:styleId="PlainText">
    <w:name w:val="Plain Text"/>
    <w:basedOn w:val="Normal"/>
    <w:link w:val="PlainTextChar"/>
    <w:rsid w:val="00810F69"/>
    <w:pPr>
      <w:spacing w:after="0" w:line="240" w:lineRule="auto"/>
    </w:pPr>
    <w:rPr>
      <w:rFonts w:ascii="Courier New" w:hAnsi="Courier New"/>
      <w:sz w:val="20"/>
      <w:szCs w:val="20"/>
      <w:lang w:val="es-ES" w:eastAsia="es-ES"/>
    </w:rPr>
  </w:style>
  <w:style w:type="character" w:customStyle="1" w:styleId="PlainTextChar">
    <w:name w:val="Plain Text Char"/>
    <w:basedOn w:val="DefaultParagraphFont"/>
    <w:link w:val="PlainText"/>
    <w:rsid w:val="00810F69"/>
    <w:rPr>
      <w:rFonts w:ascii="Courier New" w:eastAsia="Calibri" w:hAnsi="Courier New" w:cs="Times New Roman"/>
      <w:sz w:val="20"/>
      <w:szCs w:val="20"/>
      <w:lang w:val="es-ES" w:eastAsia="es-ES"/>
    </w:rPr>
  </w:style>
  <w:style w:type="paragraph" w:customStyle="1" w:styleId="ecxt">
    <w:name w:val="ecxt"/>
    <w:basedOn w:val="Normal"/>
    <w:uiPriority w:val="99"/>
    <w:rsid w:val="00810F69"/>
    <w:pPr>
      <w:spacing w:after="324" w:line="240" w:lineRule="auto"/>
    </w:pPr>
    <w:rPr>
      <w:rFonts w:ascii="Times New Roman" w:eastAsia="Times New Roman" w:hAnsi="Times New Roman"/>
      <w:sz w:val="24"/>
      <w:szCs w:val="24"/>
      <w:lang w:val="es-ES" w:eastAsia="es-ES"/>
    </w:rPr>
  </w:style>
  <w:style w:type="paragraph" w:customStyle="1" w:styleId="Forma">
    <w:name w:val="Forma"/>
    <w:basedOn w:val="Normal"/>
    <w:link w:val="FormaCar"/>
    <w:rsid w:val="00810F69"/>
    <w:pPr>
      <w:spacing w:after="0" w:line="240" w:lineRule="auto"/>
      <w:jc w:val="both"/>
    </w:pPr>
    <w:rPr>
      <w:rFonts w:ascii="Arial Narrow" w:eastAsia="Times New Roman" w:hAnsi="Arial Narrow"/>
      <w:sz w:val="18"/>
      <w:szCs w:val="24"/>
      <w:lang w:eastAsia="es-ES"/>
    </w:rPr>
  </w:style>
  <w:style w:type="character" w:customStyle="1" w:styleId="FormaCar">
    <w:name w:val="Forma Car"/>
    <w:basedOn w:val="DefaultParagraphFont"/>
    <w:link w:val="Forma"/>
    <w:rsid w:val="00810F69"/>
    <w:rPr>
      <w:rFonts w:ascii="Arial Narrow" w:eastAsia="Times New Roman" w:hAnsi="Arial Narrow" w:cs="Times New Roman"/>
      <w:sz w:val="18"/>
      <w:szCs w:val="24"/>
      <w:lang w:eastAsia="es-ES"/>
    </w:rPr>
  </w:style>
  <w:style w:type="paragraph" w:styleId="Title">
    <w:name w:val="Title"/>
    <w:basedOn w:val="Normal"/>
    <w:link w:val="TitleChar"/>
    <w:qFormat/>
    <w:rsid w:val="00810F69"/>
    <w:pPr>
      <w:spacing w:after="0" w:line="240" w:lineRule="auto"/>
      <w:jc w:val="center"/>
    </w:pPr>
    <w:rPr>
      <w:rFonts w:ascii="Verdana" w:eastAsia="Times New Roman" w:hAnsi="Verdana"/>
      <w:b/>
      <w:bCs/>
      <w:sz w:val="24"/>
      <w:szCs w:val="24"/>
      <w:lang w:val="es-ES" w:eastAsia="es-ES"/>
    </w:rPr>
  </w:style>
  <w:style w:type="character" w:customStyle="1" w:styleId="TtuloCar">
    <w:name w:val="Título Car"/>
    <w:basedOn w:val="DefaultParagraphFont"/>
    <w:rsid w:val="00810F69"/>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F69"/>
    <w:rPr>
      <w:rFonts w:ascii="Verdana" w:eastAsia="Times New Roman" w:hAnsi="Verdana" w:cs="Times New Roman"/>
      <w:b/>
      <w:bCs/>
      <w:sz w:val="24"/>
      <w:szCs w:val="24"/>
      <w:lang w:val="es-ES" w:eastAsia="es-ES"/>
    </w:rPr>
  </w:style>
  <w:style w:type="paragraph" w:styleId="Subtitle">
    <w:name w:val="Subtitle"/>
    <w:basedOn w:val="Normal"/>
    <w:link w:val="SubtitleChar"/>
    <w:qFormat/>
    <w:rsid w:val="00810F69"/>
    <w:pPr>
      <w:spacing w:after="480" w:line="240" w:lineRule="auto"/>
      <w:jc w:val="center"/>
    </w:pPr>
    <w:rPr>
      <w:rFonts w:ascii="Times New Roman" w:eastAsia="Times New Roman" w:hAnsi="Times New Roman"/>
      <w:sz w:val="28"/>
      <w:szCs w:val="20"/>
      <w:lang w:eastAsia="es-ES"/>
    </w:rPr>
  </w:style>
  <w:style w:type="character" w:customStyle="1" w:styleId="SubtitleChar">
    <w:name w:val="Subtitle Char"/>
    <w:basedOn w:val="DefaultParagraphFont"/>
    <w:link w:val="Subtitle"/>
    <w:rsid w:val="00810F69"/>
    <w:rPr>
      <w:rFonts w:ascii="Times New Roman" w:eastAsia="Times New Roman" w:hAnsi="Times New Roman" w:cs="Times New Roman"/>
      <w:sz w:val="28"/>
      <w:szCs w:val="20"/>
      <w:lang w:eastAsia="es-ES"/>
    </w:rPr>
  </w:style>
  <w:style w:type="paragraph" w:customStyle="1" w:styleId="p">
    <w:name w:val="p"/>
    <w:basedOn w:val="Normal"/>
    <w:rsid w:val="00810F69"/>
    <w:pPr>
      <w:spacing w:after="120" w:line="360" w:lineRule="auto"/>
      <w:jc w:val="both"/>
    </w:pPr>
    <w:rPr>
      <w:rFonts w:ascii="Times New Roman" w:eastAsia="Times New Roman" w:hAnsi="Times New Roman"/>
      <w:sz w:val="20"/>
      <w:szCs w:val="20"/>
      <w:lang w:eastAsia="es-ES"/>
    </w:rPr>
  </w:style>
  <w:style w:type="paragraph" w:customStyle="1" w:styleId="aa">
    <w:name w:val="aa"/>
    <w:basedOn w:val="Normal"/>
    <w:rsid w:val="00810F69"/>
    <w:pPr>
      <w:tabs>
        <w:tab w:val="num" w:pos="360"/>
      </w:tabs>
      <w:spacing w:after="0" w:line="240" w:lineRule="auto"/>
      <w:ind w:left="360" w:hanging="360"/>
    </w:pPr>
    <w:rPr>
      <w:rFonts w:ascii="Arial" w:eastAsia="Times New Roman" w:hAnsi="Arial"/>
      <w:szCs w:val="20"/>
      <w:lang w:val="es-ES" w:eastAsia="es-ES"/>
    </w:rPr>
  </w:style>
  <w:style w:type="paragraph" w:styleId="CommentText">
    <w:name w:val="annotation text"/>
    <w:basedOn w:val="Normal"/>
    <w:link w:val="CommentTextChar"/>
    <w:rsid w:val="00810F69"/>
    <w:pPr>
      <w:spacing w:after="0" w:line="240" w:lineRule="auto"/>
    </w:pPr>
    <w:rPr>
      <w:rFonts w:ascii="Times New Roman" w:eastAsia="Times New Roman" w:hAnsi="Times New Roman"/>
      <w:sz w:val="20"/>
      <w:szCs w:val="24"/>
      <w:lang w:val="es-ES" w:eastAsia="es-ES"/>
    </w:rPr>
  </w:style>
  <w:style w:type="character" w:customStyle="1" w:styleId="CommentTextChar">
    <w:name w:val="Comment Text Char"/>
    <w:basedOn w:val="DefaultParagraphFont"/>
    <w:link w:val="CommentText"/>
    <w:rsid w:val="00810F69"/>
    <w:rPr>
      <w:rFonts w:ascii="Times New Roman" w:eastAsia="Times New Roman" w:hAnsi="Times New Roman" w:cs="Times New Roman"/>
      <w:sz w:val="20"/>
      <w:szCs w:val="24"/>
      <w:lang w:val="es-ES" w:eastAsia="es-ES"/>
    </w:rPr>
  </w:style>
  <w:style w:type="character" w:styleId="PageNumber">
    <w:name w:val="page number"/>
    <w:basedOn w:val="DefaultParagraphFont"/>
    <w:rsid w:val="00810F69"/>
  </w:style>
  <w:style w:type="paragraph" w:styleId="BodyText3">
    <w:name w:val="Body Text 3"/>
    <w:basedOn w:val="Normal"/>
    <w:link w:val="BodyText3Char"/>
    <w:rsid w:val="00810F69"/>
    <w:pPr>
      <w:spacing w:before="120" w:after="120" w:line="360" w:lineRule="auto"/>
      <w:jc w:val="both"/>
    </w:pPr>
    <w:rPr>
      <w:rFonts w:ascii="Antique Olive" w:eastAsia="Times New Roman" w:hAnsi="Antique Olive"/>
      <w:sz w:val="20"/>
      <w:szCs w:val="20"/>
      <w:lang w:eastAsia="es-ES"/>
    </w:rPr>
  </w:style>
  <w:style w:type="character" w:customStyle="1" w:styleId="BodyText3Char">
    <w:name w:val="Body Text 3 Char"/>
    <w:basedOn w:val="DefaultParagraphFont"/>
    <w:link w:val="BodyText3"/>
    <w:rsid w:val="00810F69"/>
    <w:rPr>
      <w:rFonts w:ascii="Antique Olive" w:eastAsia="Times New Roman" w:hAnsi="Antique Olive" w:cs="Times New Roman"/>
      <w:sz w:val="20"/>
      <w:szCs w:val="20"/>
      <w:lang w:eastAsia="es-ES"/>
    </w:rPr>
  </w:style>
  <w:style w:type="paragraph" w:styleId="BodyTextIndent2">
    <w:name w:val="Body Text Indent 2"/>
    <w:basedOn w:val="Normal"/>
    <w:link w:val="BodyTextIndent2Char"/>
    <w:rsid w:val="00810F69"/>
    <w:pPr>
      <w:spacing w:after="0" w:line="360" w:lineRule="auto"/>
      <w:ind w:left="426"/>
      <w:jc w:val="both"/>
    </w:pPr>
    <w:rPr>
      <w:rFonts w:ascii="CG Omega" w:eastAsia="Times New Roman" w:hAnsi="CG Omega"/>
      <w:sz w:val="24"/>
      <w:szCs w:val="20"/>
      <w:lang w:val="es-ES" w:eastAsia="es-ES"/>
    </w:rPr>
  </w:style>
  <w:style w:type="character" w:customStyle="1" w:styleId="BodyTextIndent2Char">
    <w:name w:val="Body Text Indent 2 Char"/>
    <w:basedOn w:val="DefaultParagraphFont"/>
    <w:link w:val="BodyTextIndent2"/>
    <w:rsid w:val="00810F69"/>
    <w:rPr>
      <w:rFonts w:ascii="CG Omega" w:eastAsia="Times New Roman" w:hAnsi="CG Omega" w:cs="Times New Roman"/>
      <w:sz w:val="24"/>
      <w:szCs w:val="20"/>
      <w:lang w:val="es-ES" w:eastAsia="es-ES"/>
    </w:rPr>
  </w:style>
  <w:style w:type="paragraph" w:customStyle="1" w:styleId="inciso">
    <w:name w:val="inciso"/>
    <w:basedOn w:val="Normal"/>
    <w:rsid w:val="00810F69"/>
    <w:pPr>
      <w:widowControl w:val="0"/>
      <w:tabs>
        <w:tab w:val="left" w:pos="709"/>
      </w:tabs>
      <w:spacing w:after="360" w:line="240" w:lineRule="auto"/>
      <w:ind w:left="709" w:hanging="709"/>
      <w:jc w:val="both"/>
    </w:pPr>
    <w:rPr>
      <w:rFonts w:ascii="Times New Roman" w:eastAsia="Times New Roman" w:hAnsi="Times New Roman"/>
      <w:snapToGrid w:val="0"/>
      <w:sz w:val="24"/>
      <w:szCs w:val="20"/>
      <w:lang w:val="es-ES_tradnl" w:eastAsia="es-ES"/>
    </w:rPr>
  </w:style>
  <w:style w:type="paragraph" w:customStyle="1" w:styleId="F">
    <w:name w:val="F"/>
    <w:basedOn w:val="Normal"/>
    <w:rsid w:val="00810F69"/>
    <w:pPr>
      <w:tabs>
        <w:tab w:val="center" w:pos="1980"/>
        <w:tab w:val="center" w:pos="7020"/>
      </w:tabs>
      <w:spacing w:before="720" w:after="0" w:line="240" w:lineRule="auto"/>
      <w:ind w:left="-902"/>
      <w:jc w:val="both"/>
    </w:pPr>
    <w:rPr>
      <w:rFonts w:ascii="Times New Roman" w:eastAsia="Times New Roman" w:hAnsi="Times New Roman"/>
      <w:b/>
      <w:bCs/>
      <w:szCs w:val="24"/>
      <w:lang w:val="es-ES" w:eastAsia="es-ES"/>
    </w:rPr>
  </w:style>
  <w:style w:type="paragraph" w:customStyle="1" w:styleId="FF">
    <w:name w:val="FF"/>
    <w:basedOn w:val="Normal"/>
    <w:rsid w:val="00810F69"/>
    <w:pPr>
      <w:tabs>
        <w:tab w:val="center" w:pos="1980"/>
        <w:tab w:val="center" w:pos="7020"/>
      </w:tabs>
      <w:spacing w:after="120" w:line="240" w:lineRule="auto"/>
      <w:ind w:left="-902"/>
    </w:pPr>
    <w:rPr>
      <w:rFonts w:ascii="Times New Roman" w:eastAsia="Times New Roman" w:hAnsi="Times New Roman"/>
      <w:szCs w:val="24"/>
      <w:lang w:val="es-ES" w:eastAsia="es-ES"/>
    </w:rPr>
  </w:style>
  <w:style w:type="paragraph" w:customStyle="1" w:styleId="t">
    <w:name w:val="t"/>
    <w:basedOn w:val="Subtitle"/>
    <w:rsid w:val="00810F69"/>
    <w:pPr>
      <w:spacing w:after="240" w:line="360" w:lineRule="auto"/>
    </w:pPr>
    <w:rPr>
      <w:b/>
      <w:sz w:val="24"/>
      <w:lang w:val="es-ES_tradnl"/>
    </w:rPr>
  </w:style>
  <w:style w:type="paragraph" w:customStyle="1" w:styleId="sn">
    <w:name w:val="sn"/>
    <w:basedOn w:val="Subtitle"/>
    <w:rsid w:val="00810F69"/>
    <w:pPr>
      <w:spacing w:after="120" w:line="360" w:lineRule="auto"/>
      <w:jc w:val="both"/>
    </w:pPr>
    <w:rPr>
      <w:b/>
      <w:sz w:val="20"/>
      <w:lang w:val="es-ES_tradnl"/>
    </w:rPr>
  </w:style>
  <w:style w:type="paragraph" w:customStyle="1" w:styleId="n0">
    <w:name w:val="n"/>
    <w:basedOn w:val="Heading1"/>
    <w:rsid w:val="00810F69"/>
    <w:pPr>
      <w:tabs>
        <w:tab w:val="left" w:pos="4320"/>
        <w:tab w:val="right" w:pos="9360"/>
      </w:tabs>
    </w:pPr>
    <w:rPr>
      <w:rFonts w:eastAsia="Times New Roman"/>
      <w:sz w:val="20"/>
      <w:szCs w:val="20"/>
    </w:rPr>
  </w:style>
  <w:style w:type="paragraph" w:customStyle="1" w:styleId="xl26">
    <w:name w:val="xl26"/>
    <w:basedOn w:val="Normal"/>
    <w:rsid w:val="00810F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es-ES" w:eastAsia="es-ES"/>
    </w:rPr>
  </w:style>
  <w:style w:type="paragraph" w:customStyle="1" w:styleId="xl27">
    <w:name w:val="xl27"/>
    <w:basedOn w:val="Normal"/>
    <w:rsid w:val="00810F69"/>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b/>
      <w:bCs/>
      <w:sz w:val="16"/>
      <w:szCs w:val="16"/>
      <w:lang w:val="es-ES" w:eastAsia="es-ES"/>
    </w:rPr>
  </w:style>
  <w:style w:type="paragraph" w:customStyle="1" w:styleId="xl28">
    <w:name w:val="xl2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16"/>
      <w:szCs w:val="16"/>
      <w:lang w:val="es-ES" w:eastAsia="es-ES"/>
    </w:rPr>
  </w:style>
  <w:style w:type="paragraph" w:customStyle="1" w:styleId="xl30">
    <w:name w:val="xl30"/>
    <w:basedOn w:val="Normal"/>
    <w:rsid w:val="00810F69"/>
    <w:pPr>
      <w:pBdr>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Arial Unicode MS" w:hAnsi="Times New Roman"/>
      <w:b/>
      <w:bCs/>
      <w:sz w:val="16"/>
      <w:szCs w:val="16"/>
      <w:lang w:val="es-ES" w:eastAsia="es-ES"/>
    </w:rPr>
  </w:style>
  <w:style w:type="paragraph" w:customStyle="1" w:styleId="xl31">
    <w:name w:val="xl31"/>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16"/>
      <w:szCs w:val="16"/>
      <w:lang w:val="es-ES" w:eastAsia="es-ES"/>
    </w:rPr>
  </w:style>
  <w:style w:type="paragraph" w:customStyle="1" w:styleId="PARRAFO0">
    <w:name w:val="PARRAFO"/>
    <w:basedOn w:val="Normal"/>
    <w:rsid w:val="00810F69"/>
    <w:pPr>
      <w:widowControl w:val="0"/>
      <w:spacing w:after="240" w:line="240" w:lineRule="auto"/>
      <w:jc w:val="both"/>
    </w:pPr>
    <w:rPr>
      <w:rFonts w:ascii="Times New Roman" w:eastAsia="Times New Roman" w:hAnsi="Times New Roman"/>
      <w:snapToGrid w:val="0"/>
      <w:sz w:val="20"/>
      <w:szCs w:val="20"/>
      <w:lang w:val="es-ES_tradnl" w:eastAsia="es-ES"/>
    </w:rPr>
  </w:style>
  <w:style w:type="paragraph" w:styleId="List2">
    <w:name w:val="List 2"/>
    <w:basedOn w:val="Normal"/>
    <w:uiPriority w:val="99"/>
    <w:unhideWhenUsed/>
    <w:rsid w:val="00810F69"/>
    <w:pPr>
      <w:ind w:left="566" w:hanging="283"/>
      <w:contextualSpacing/>
    </w:pPr>
    <w:rPr>
      <w:rFonts w:asciiTheme="minorHAnsi" w:eastAsiaTheme="minorEastAsia" w:hAnsiTheme="minorHAnsi" w:cstheme="minorBidi"/>
      <w:lang w:eastAsia="es-MX"/>
    </w:rPr>
  </w:style>
  <w:style w:type="paragraph" w:customStyle="1" w:styleId="Estilo">
    <w:name w:val="Estilo"/>
    <w:link w:val="EstiloCar"/>
    <w:qFormat/>
    <w:rsid w:val="00810F6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unhideWhenUsed/>
    <w:rsid w:val="00810F69"/>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rsid w:val="00810F69"/>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810F69"/>
    <w:rPr>
      <w:vertAlign w:val="superscript"/>
    </w:rPr>
  </w:style>
  <w:style w:type="numbering" w:customStyle="1" w:styleId="Estilo1">
    <w:name w:val="Estilo1"/>
    <w:uiPriority w:val="99"/>
    <w:rsid w:val="00810F69"/>
    <w:pPr>
      <w:numPr>
        <w:numId w:val="1"/>
      </w:numPr>
    </w:pPr>
  </w:style>
  <w:style w:type="numbering" w:customStyle="1" w:styleId="Estilo2">
    <w:name w:val="Estilo2"/>
    <w:uiPriority w:val="99"/>
    <w:rsid w:val="00810F69"/>
    <w:pPr>
      <w:numPr>
        <w:numId w:val="2"/>
      </w:numPr>
    </w:pPr>
  </w:style>
  <w:style w:type="numbering" w:customStyle="1" w:styleId="Estilo3">
    <w:name w:val="Estilo3"/>
    <w:uiPriority w:val="99"/>
    <w:rsid w:val="00810F69"/>
  </w:style>
  <w:style w:type="table" w:styleId="TableGrid">
    <w:name w:val="Table Grid"/>
    <w:basedOn w:val="TableNormal"/>
    <w:rsid w:val="00810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0F69"/>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rPr>
  </w:style>
  <w:style w:type="paragraph" w:customStyle="1" w:styleId="Text">
    <w:name w:val="Text"/>
    <w:basedOn w:val="Standard"/>
    <w:rsid w:val="00810F69"/>
    <w:pPr>
      <w:spacing w:after="101" w:line="216" w:lineRule="exact"/>
      <w:ind w:firstLine="288"/>
      <w:jc w:val="both"/>
    </w:pPr>
    <w:rPr>
      <w:rFonts w:ascii="Arial" w:hAnsi="Arial" w:cs="Arial"/>
      <w:sz w:val="18"/>
    </w:rPr>
  </w:style>
  <w:style w:type="paragraph" w:customStyle="1" w:styleId="Texto">
    <w:name w:val="Texto"/>
    <w:basedOn w:val="Normal"/>
    <w:link w:val="TextoCar"/>
    <w:qFormat/>
    <w:rsid w:val="00810F6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DefaultParagraphFont"/>
    <w:link w:val="Texto"/>
    <w:locked/>
    <w:rsid w:val="00810F69"/>
    <w:rPr>
      <w:rFonts w:ascii="Arial" w:eastAsia="Times New Roman" w:hAnsi="Arial" w:cs="Arial"/>
      <w:sz w:val="18"/>
      <w:szCs w:val="20"/>
      <w:lang w:val="es-ES" w:eastAsia="es-ES"/>
    </w:rPr>
  </w:style>
  <w:style w:type="paragraph" w:customStyle="1" w:styleId="Default">
    <w:name w:val="Default"/>
    <w:rsid w:val="00810F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0F69"/>
    <w:rPr>
      <w:color w:val="0000FF"/>
      <w:u w:val="single"/>
    </w:rPr>
  </w:style>
  <w:style w:type="character" w:styleId="FollowedHyperlink">
    <w:name w:val="FollowedHyperlink"/>
    <w:basedOn w:val="DefaultParagraphFont"/>
    <w:uiPriority w:val="99"/>
    <w:unhideWhenUsed/>
    <w:rsid w:val="00810F69"/>
    <w:rPr>
      <w:color w:val="800080"/>
      <w:u w:val="single"/>
    </w:rPr>
  </w:style>
  <w:style w:type="paragraph" w:customStyle="1" w:styleId="xl63">
    <w:name w:val="xl63"/>
    <w:basedOn w:val="Normal"/>
    <w:rsid w:val="00810F69"/>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4">
    <w:name w:val="xl64"/>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5">
    <w:name w:val="xl6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6">
    <w:name w:val="xl6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7">
    <w:name w:val="xl67"/>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8">
    <w:name w:val="xl68"/>
    <w:basedOn w:val="Normal"/>
    <w:rsid w:val="00810F69"/>
    <w:pP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69">
    <w:name w:val="xl69"/>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0">
    <w:name w:val="xl70"/>
    <w:basedOn w:val="Normal"/>
    <w:rsid w:val="00810F69"/>
    <w:pPr>
      <w:spacing w:before="100" w:beforeAutospacing="1" w:after="100" w:afterAutospacing="1" w:line="240" w:lineRule="auto"/>
      <w:textAlignment w:val="center"/>
    </w:pPr>
    <w:rPr>
      <w:rFonts w:ascii="Times New Roman" w:eastAsia="Times New Roman" w:hAnsi="Times New Roman"/>
      <w:color w:val="538ED5"/>
      <w:sz w:val="16"/>
      <w:szCs w:val="16"/>
      <w:lang w:eastAsia="es-MX"/>
    </w:rPr>
  </w:style>
  <w:style w:type="paragraph" w:customStyle="1" w:styleId="xl71">
    <w:name w:val="xl71"/>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2">
    <w:name w:val="xl72"/>
    <w:basedOn w:val="Normal"/>
    <w:rsid w:val="00810F69"/>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3">
    <w:name w:val="xl73"/>
    <w:basedOn w:val="Normal"/>
    <w:rsid w:val="00810F69"/>
    <w:pPr>
      <w:spacing w:before="100" w:beforeAutospacing="1" w:after="100" w:afterAutospacing="1" w:line="240" w:lineRule="auto"/>
      <w:jc w:val="right"/>
    </w:pPr>
    <w:rPr>
      <w:rFonts w:ascii="Times New Roman" w:eastAsia="Times New Roman" w:hAnsi="Times New Roman"/>
      <w:sz w:val="16"/>
      <w:szCs w:val="16"/>
      <w:lang w:eastAsia="es-MX"/>
    </w:rPr>
  </w:style>
  <w:style w:type="paragraph" w:customStyle="1" w:styleId="xl74">
    <w:name w:val="xl74"/>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5">
    <w:name w:val="xl7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6">
    <w:name w:val="xl7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7">
    <w:name w:val="xl7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8">
    <w:name w:val="xl7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9">
    <w:name w:val="xl7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0">
    <w:name w:val="xl8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1">
    <w:name w:val="xl8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2">
    <w:name w:val="xl8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83">
    <w:name w:val="xl8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4">
    <w:name w:val="xl8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5">
    <w:name w:val="xl8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6">
    <w:name w:val="xl8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87">
    <w:name w:val="xl8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B050"/>
      <w:sz w:val="16"/>
      <w:szCs w:val="16"/>
      <w:lang w:eastAsia="es-MX"/>
    </w:rPr>
  </w:style>
  <w:style w:type="paragraph" w:customStyle="1" w:styleId="xl88">
    <w:name w:val="xl8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9">
    <w:name w:val="xl89"/>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0">
    <w:name w:val="xl90"/>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1">
    <w:name w:val="xl91"/>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92">
    <w:name w:val="xl92"/>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3">
    <w:name w:val="xl93"/>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color w:val="000000"/>
      <w:sz w:val="16"/>
      <w:szCs w:val="16"/>
      <w:lang w:eastAsia="es-MX"/>
    </w:rPr>
  </w:style>
  <w:style w:type="paragraph" w:customStyle="1" w:styleId="xl94">
    <w:name w:val="xl9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5">
    <w:name w:val="xl9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6">
    <w:name w:val="xl9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7">
    <w:name w:val="xl9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es-MX"/>
    </w:rPr>
  </w:style>
  <w:style w:type="paragraph" w:customStyle="1" w:styleId="font5">
    <w:name w:val="font5"/>
    <w:basedOn w:val="Normal"/>
    <w:rsid w:val="00810F69"/>
    <w:pPr>
      <w:spacing w:before="100" w:beforeAutospacing="1" w:after="100" w:afterAutospacing="1" w:line="240" w:lineRule="auto"/>
    </w:pPr>
    <w:rPr>
      <w:rFonts w:ascii="Times New Roman" w:eastAsia="Times New Roman" w:hAnsi="Times New Roman"/>
      <w:b/>
      <w:bCs/>
      <w:color w:val="000000"/>
      <w:sz w:val="14"/>
      <w:szCs w:val="14"/>
      <w:lang w:eastAsia="es-MX"/>
    </w:rPr>
  </w:style>
  <w:style w:type="paragraph" w:customStyle="1" w:styleId="font6">
    <w:name w:val="font6"/>
    <w:basedOn w:val="Normal"/>
    <w:rsid w:val="00810F69"/>
    <w:pPr>
      <w:spacing w:before="100" w:beforeAutospacing="1" w:after="100" w:afterAutospacing="1" w:line="240" w:lineRule="auto"/>
    </w:pPr>
    <w:rPr>
      <w:rFonts w:eastAsia="Times New Roman" w:cs="Calibri"/>
      <w:sz w:val="18"/>
      <w:szCs w:val="18"/>
      <w:lang w:eastAsia="es-MX"/>
    </w:rPr>
  </w:style>
  <w:style w:type="paragraph" w:customStyle="1" w:styleId="font7">
    <w:name w:val="font7"/>
    <w:basedOn w:val="Normal"/>
    <w:rsid w:val="00810F69"/>
    <w:pPr>
      <w:spacing w:before="100" w:beforeAutospacing="1" w:after="100" w:afterAutospacing="1" w:line="240" w:lineRule="auto"/>
    </w:pPr>
    <w:rPr>
      <w:rFonts w:eastAsia="Times New Roman" w:cs="Calibri"/>
      <w:i/>
      <w:iCs/>
      <w:sz w:val="18"/>
      <w:szCs w:val="18"/>
      <w:lang w:eastAsia="es-MX"/>
    </w:rPr>
  </w:style>
  <w:style w:type="paragraph" w:customStyle="1" w:styleId="xl98">
    <w:name w:val="xl9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99">
    <w:name w:val="xl9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100">
    <w:name w:val="xl10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101">
    <w:name w:val="xl10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102">
    <w:name w:val="xl102"/>
    <w:basedOn w:val="Normal"/>
    <w:rsid w:val="00810F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03">
    <w:name w:val="xl10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04">
    <w:name w:val="xl104"/>
    <w:basedOn w:val="Normal"/>
    <w:rsid w:val="00810F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105">
    <w:name w:val="xl105"/>
    <w:basedOn w:val="Normal"/>
    <w:rsid w:val="00810F69"/>
    <w:pPr>
      <w:spacing w:before="100" w:beforeAutospacing="1" w:after="100" w:afterAutospacing="1" w:line="240" w:lineRule="auto"/>
      <w:textAlignment w:val="center"/>
    </w:pPr>
    <w:rPr>
      <w:rFonts w:ascii="Times New Roman" w:eastAsia="Times New Roman" w:hAnsi="Times New Roman"/>
      <w:b/>
      <w:bCs/>
      <w:sz w:val="24"/>
      <w:szCs w:val="24"/>
      <w:lang w:eastAsia="es-MX"/>
    </w:rPr>
  </w:style>
  <w:style w:type="paragraph" w:customStyle="1" w:styleId="xl106">
    <w:name w:val="xl106"/>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7">
    <w:name w:val="xl107"/>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8">
    <w:name w:val="xl108"/>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9">
    <w:name w:val="xl10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b/>
      <w:bCs/>
      <w:sz w:val="20"/>
      <w:szCs w:val="20"/>
      <w:lang w:eastAsia="es-MX"/>
    </w:rPr>
  </w:style>
  <w:style w:type="paragraph" w:customStyle="1" w:styleId="xl110">
    <w:name w:val="xl110"/>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1">
    <w:name w:val="xl111"/>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2">
    <w:name w:val="xl11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13">
    <w:name w:val="xl11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14">
    <w:name w:val="xl114"/>
    <w:basedOn w:val="Normal"/>
    <w:rsid w:val="00810F69"/>
    <w:pPr>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15">
    <w:name w:val="xl11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4"/>
      <w:szCs w:val="14"/>
      <w:lang w:val="es-ES" w:eastAsia="es-ES"/>
    </w:rPr>
  </w:style>
  <w:style w:type="paragraph" w:customStyle="1" w:styleId="xl116">
    <w:name w:val="xl11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14"/>
      <w:szCs w:val="14"/>
      <w:lang w:val="es-ES" w:eastAsia="es-ES"/>
    </w:rPr>
  </w:style>
  <w:style w:type="paragraph" w:customStyle="1" w:styleId="xl117">
    <w:name w:val="xl11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18">
    <w:name w:val="xl11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19">
    <w:name w:val="xl11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20">
    <w:name w:val="xl120"/>
    <w:basedOn w:val="Normal"/>
    <w:rsid w:val="0081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1">
    <w:name w:val="xl12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2">
    <w:name w:val="xl12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3">
    <w:name w:val="xl12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14"/>
      <w:szCs w:val="14"/>
      <w:lang w:val="es-ES" w:eastAsia="es-ES"/>
    </w:rPr>
  </w:style>
  <w:style w:type="paragraph" w:customStyle="1" w:styleId="xl124">
    <w:name w:val="xl124"/>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25">
    <w:name w:val="xl12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6">
    <w:name w:val="xl126"/>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7">
    <w:name w:val="xl12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8">
    <w:name w:val="xl12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9">
    <w:name w:val="xl12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character" w:styleId="CommentReference">
    <w:name w:val="annotation reference"/>
    <w:basedOn w:val="DefaultParagraphFont"/>
    <w:uiPriority w:val="99"/>
    <w:unhideWhenUsed/>
    <w:rsid w:val="00810F69"/>
    <w:rPr>
      <w:sz w:val="16"/>
      <w:szCs w:val="16"/>
    </w:rPr>
  </w:style>
  <w:style w:type="paragraph" w:styleId="ListBullet2">
    <w:name w:val="List Bullet 2"/>
    <w:basedOn w:val="Normal"/>
    <w:autoRedefine/>
    <w:uiPriority w:val="99"/>
    <w:semiHidden/>
    <w:rsid w:val="00810F69"/>
    <w:pPr>
      <w:tabs>
        <w:tab w:val="num" w:pos="643"/>
      </w:tabs>
      <w:spacing w:after="0" w:line="240" w:lineRule="auto"/>
      <w:ind w:left="643" w:hanging="360"/>
    </w:pPr>
    <w:rPr>
      <w:rFonts w:ascii="Times New Roman" w:eastAsia="Times New Roman" w:hAnsi="Times New Roman"/>
      <w:sz w:val="20"/>
      <w:szCs w:val="20"/>
      <w:lang w:val="es-ES_tradnl" w:eastAsia="es-ES"/>
    </w:rPr>
  </w:style>
  <w:style w:type="paragraph" w:customStyle="1" w:styleId="NoSpacing2">
    <w:name w:val="No Spacing2"/>
    <w:qFormat/>
    <w:rsid w:val="00810F69"/>
    <w:pPr>
      <w:spacing w:after="0" w:line="240" w:lineRule="auto"/>
    </w:pPr>
    <w:rPr>
      <w:rFonts w:ascii="Calibri" w:eastAsia="Calibri" w:hAnsi="Calibri" w:cs="Times New Roman"/>
    </w:rPr>
  </w:style>
  <w:style w:type="paragraph" w:customStyle="1" w:styleId="Ttulo11">
    <w:name w:val="Título 11"/>
    <w:basedOn w:val="Normal"/>
    <w:uiPriority w:val="1"/>
    <w:qFormat/>
    <w:rsid w:val="00810F69"/>
    <w:pPr>
      <w:widowControl w:val="0"/>
      <w:spacing w:after="0" w:line="240" w:lineRule="auto"/>
      <w:ind w:left="3075"/>
      <w:outlineLvl w:val="1"/>
    </w:pPr>
    <w:rPr>
      <w:rFonts w:ascii="Times New Roman" w:eastAsia="Times New Roman" w:hAnsi="Times New Roman" w:cstheme="minorBidi"/>
      <w:b/>
      <w:bCs/>
      <w:sz w:val="31"/>
      <w:szCs w:val="31"/>
      <w:lang w:val="en-US"/>
    </w:rPr>
  </w:style>
  <w:style w:type="numbering" w:customStyle="1" w:styleId="Sinlista1">
    <w:name w:val="Sin lista1"/>
    <w:next w:val="NoList"/>
    <w:uiPriority w:val="99"/>
    <w:semiHidden/>
    <w:unhideWhenUsed/>
    <w:rsid w:val="00810F69"/>
  </w:style>
  <w:style w:type="table" w:customStyle="1" w:styleId="Tablaconcuadrcula1">
    <w:name w:val="Tabla con cuadrícula1"/>
    <w:basedOn w:val="TableNormal"/>
    <w:next w:val="TableGrid"/>
    <w:uiPriority w:val="59"/>
    <w:locked/>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NoList"/>
    <w:uiPriority w:val="99"/>
    <w:semiHidden/>
    <w:unhideWhenUsed/>
    <w:rsid w:val="00810F69"/>
  </w:style>
  <w:style w:type="numbering" w:customStyle="1" w:styleId="Estilo11">
    <w:name w:val="Estilo11"/>
    <w:uiPriority w:val="99"/>
    <w:rsid w:val="00810F69"/>
    <w:pPr>
      <w:numPr>
        <w:numId w:val="3"/>
      </w:numPr>
    </w:pPr>
  </w:style>
  <w:style w:type="numbering" w:customStyle="1" w:styleId="Estilo21">
    <w:name w:val="Estilo21"/>
    <w:uiPriority w:val="99"/>
    <w:rsid w:val="00810F69"/>
    <w:pPr>
      <w:numPr>
        <w:numId w:val="4"/>
      </w:numPr>
    </w:pPr>
  </w:style>
  <w:style w:type="numbering" w:customStyle="1" w:styleId="Estilo31">
    <w:name w:val="Estilo31"/>
    <w:uiPriority w:val="99"/>
    <w:rsid w:val="00810F69"/>
    <w:pPr>
      <w:numPr>
        <w:numId w:val="5"/>
      </w:numPr>
    </w:pPr>
  </w:style>
  <w:style w:type="table" w:customStyle="1" w:styleId="Tablaconcuadrcula2">
    <w:name w:val="Tabla con cuadrícula2"/>
    <w:basedOn w:val="TableNormal"/>
    <w:next w:val="TableGrid"/>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NoList"/>
    <w:uiPriority w:val="99"/>
    <w:semiHidden/>
    <w:unhideWhenUsed/>
    <w:rsid w:val="00810F69"/>
  </w:style>
  <w:style w:type="character" w:customStyle="1" w:styleId="l6">
    <w:name w:val="l6"/>
    <w:basedOn w:val="DefaultParagraphFont"/>
    <w:rsid w:val="00810F69"/>
  </w:style>
  <w:style w:type="character" w:customStyle="1" w:styleId="apple-converted-space">
    <w:name w:val="apple-converted-space"/>
    <w:basedOn w:val="DefaultParagraphFont"/>
    <w:rsid w:val="00810F69"/>
  </w:style>
  <w:style w:type="paragraph" w:customStyle="1" w:styleId="T0">
    <w:name w:val="T"/>
    <w:basedOn w:val="Normal"/>
    <w:rsid w:val="00810F6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20"/>
      <w:lang w:val="es-ES" w:eastAsia="es-ES"/>
    </w:rPr>
  </w:style>
  <w:style w:type="character" w:styleId="Emphasis">
    <w:name w:val="Emphasis"/>
    <w:uiPriority w:val="20"/>
    <w:qFormat/>
    <w:rsid w:val="00810F69"/>
    <w:rPr>
      <w:i/>
    </w:rPr>
  </w:style>
  <w:style w:type="table" w:customStyle="1" w:styleId="Tablaconcuadrcula3">
    <w:name w:val="Tabla con cuadrícula3"/>
    <w:basedOn w:val="TableNormal"/>
    <w:next w:val="TableGrid"/>
    <w:uiPriority w:val="59"/>
    <w:rsid w:val="00810F69"/>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10F69"/>
  </w:style>
  <w:style w:type="numbering" w:customStyle="1" w:styleId="Estilo4">
    <w:name w:val="Estilo4"/>
    <w:uiPriority w:val="99"/>
    <w:rsid w:val="00810F69"/>
    <w:pPr>
      <w:numPr>
        <w:numId w:val="6"/>
      </w:numPr>
    </w:pPr>
  </w:style>
  <w:style w:type="numbering" w:customStyle="1" w:styleId="Estilo14">
    <w:name w:val="Estilo14"/>
    <w:uiPriority w:val="99"/>
    <w:rsid w:val="00810F69"/>
    <w:pPr>
      <w:numPr>
        <w:numId w:val="7"/>
      </w:numPr>
    </w:pPr>
  </w:style>
  <w:style w:type="numbering" w:customStyle="1" w:styleId="Style1">
    <w:name w:val="Style1"/>
    <w:uiPriority w:val="99"/>
    <w:rsid w:val="00810F69"/>
    <w:pPr>
      <w:numPr>
        <w:numId w:val="8"/>
      </w:numPr>
    </w:pPr>
  </w:style>
  <w:style w:type="character" w:customStyle="1" w:styleId="CharAttribute0">
    <w:name w:val="CharAttribute0"/>
    <w:rsid w:val="00810F69"/>
    <w:rPr>
      <w:rFonts w:ascii="Arial" w:eastAsia="Times New Roman"/>
      <w:sz w:val="24"/>
    </w:rPr>
  </w:style>
  <w:style w:type="paragraph" w:customStyle="1" w:styleId="unico">
    <w:name w:val="unico"/>
    <w:basedOn w:val="Normal"/>
    <w:uiPriority w:val="99"/>
    <w:rsid w:val="00810F69"/>
    <w:pPr>
      <w:widowControl w:val="0"/>
      <w:tabs>
        <w:tab w:val="left" w:pos="368"/>
        <w:tab w:val="right" w:leader="dot" w:pos="6038"/>
      </w:tabs>
      <w:spacing w:after="0" w:line="240" w:lineRule="auto"/>
      <w:ind w:left="368"/>
      <w:jc w:val="both"/>
    </w:pPr>
    <w:rPr>
      <w:rFonts w:ascii="Times New Roman" w:eastAsia="Times New Roman" w:hAnsi="Times New Roman"/>
      <w:color w:val="000000"/>
      <w:sz w:val="18"/>
      <w:szCs w:val="18"/>
      <w:lang w:val="es-ES" w:eastAsia="es-ES"/>
    </w:rPr>
  </w:style>
  <w:style w:type="paragraph" w:customStyle="1" w:styleId="Instruccionesenvocorreo">
    <w:name w:val="Instrucciones envío correo"/>
    <w:basedOn w:val="Normal"/>
    <w:uiPriority w:val="99"/>
    <w:rsid w:val="00810F69"/>
    <w:pPr>
      <w:spacing w:after="0" w:line="240" w:lineRule="auto"/>
    </w:pPr>
    <w:rPr>
      <w:rFonts w:ascii="Times New Roman" w:eastAsia="Times New Roman" w:hAnsi="Times New Roman"/>
      <w:sz w:val="20"/>
      <w:szCs w:val="20"/>
      <w:lang w:val="es-ES" w:eastAsia="es-ES"/>
    </w:rPr>
  </w:style>
  <w:style w:type="paragraph" w:styleId="BodyTextIndent3">
    <w:name w:val="Body Text Indent 3"/>
    <w:basedOn w:val="Normal"/>
    <w:link w:val="BodyTextIndent3Char"/>
    <w:uiPriority w:val="99"/>
    <w:rsid w:val="00810F69"/>
    <w:pPr>
      <w:spacing w:after="120" w:line="240" w:lineRule="auto"/>
      <w:ind w:left="283"/>
    </w:pPr>
    <w:rPr>
      <w:rFonts w:ascii="Times New Roman" w:eastAsia="Times New Roman" w:hAnsi="Times New Roman"/>
      <w:sz w:val="16"/>
      <w:szCs w:val="16"/>
      <w:lang w:val="es-ES" w:eastAsia="es-ES"/>
    </w:rPr>
  </w:style>
  <w:style w:type="character" w:customStyle="1" w:styleId="BodyTextIndent3Char">
    <w:name w:val="Body Text Indent 3 Char"/>
    <w:basedOn w:val="DefaultParagraphFont"/>
    <w:link w:val="BodyTextIndent3"/>
    <w:uiPriority w:val="99"/>
    <w:rsid w:val="00810F69"/>
    <w:rPr>
      <w:rFonts w:ascii="Times New Roman" w:eastAsia="Times New Roman" w:hAnsi="Times New Roman" w:cs="Times New Roman"/>
      <w:sz w:val="16"/>
      <w:szCs w:val="16"/>
      <w:lang w:val="es-ES" w:eastAsia="es-ES"/>
    </w:rPr>
  </w:style>
  <w:style w:type="paragraph" w:customStyle="1" w:styleId="Prrafodelista1">
    <w:name w:val="Párrafo de lista1"/>
    <w:basedOn w:val="Normal"/>
    <w:uiPriority w:val="99"/>
    <w:rsid w:val="00810F69"/>
    <w:pPr>
      <w:ind w:left="720"/>
    </w:pPr>
    <w:rPr>
      <w:rFonts w:eastAsia="Times New Roman" w:cs="Calibri"/>
      <w:lang w:val="es-ES"/>
    </w:rPr>
  </w:style>
  <w:style w:type="paragraph" w:styleId="TOCHeading">
    <w:name w:val="TOC Heading"/>
    <w:basedOn w:val="Heading1"/>
    <w:next w:val="Normal"/>
    <w:uiPriority w:val="99"/>
    <w:qFormat/>
    <w:rsid w:val="00810F69"/>
    <w:pPr>
      <w:keepLines/>
      <w:spacing w:before="480" w:line="276" w:lineRule="auto"/>
      <w:outlineLvl w:val="9"/>
    </w:pPr>
    <w:rPr>
      <w:rFonts w:ascii="Cambria" w:eastAsia="Times New Roman" w:hAnsi="Cambria" w:cs="Cambria"/>
      <w:sz w:val="28"/>
      <w:szCs w:val="28"/>
      <w:lang w:val="en-US" w:eastAsia="en-US"/>
    </w:rPr>
  </w:style>
  <w:style w:type="paragraph" w:styleId="TOC1">
    <w:name w:val="toc 1"/>
    <w:basedOn w:val="Normal"/>
    <w:next w:val="Normal"/>
    <w:autoRedefine/>
    <w:uiPriority w:val="99"/>
    <w:rsid w:val="00810F69"/>
    <w:pPr>
      <w:spacing w:after="0" w:line="240" w:lineRule="auto"/>
    </w:pPr>
    <w:rPr>
      <w:rFonts w:ascii="Times New Roman" w:eastAsia="Times New Roman" w:hAnsi="Times New Roman"/>
      <w:sz w:val="24"/>
      <w:szCs w:val="24"/>
      <w:lang w:val="es-ES" w:eastAsia="es-ES"/>
    </w:rPr>
  </w:style>
  <w:style w:type="paragraph" w:styleId="TOC2">
    <w:name w:val="toc 2"/>
    <w:basedOn w:val="Normal"/>
    <w:next w:val="Normal"/>
    <w:autoRedefine/>
    <w:uiPriority w:val="99"/>
    <w:rsid w:val="00810F69"/>
    <w:pPr>
      <w:spacing w:after="0" w:line="240" w:lineRule="auto"/>
      <w:ind w:left="240"/>
    </w:pPr>
    <w:rPr>
      <w:rFonts w:ascii="Times New Roman" w:eastAsia="Times New Roman" w:hAnsi="Times New Roman"/>
      <w:sz w:val="24"/>
      <w:szCs w:val="24"/>
      <w:lang w:val="es-ES" w:eastAsia="es-ES"/>
    </w:rPr>
  </w:style>
  <w:style w:type="paragraph" w:styleId="CommentSubject">
    <w:name w:val="annotation subject"/>
    <w:basedOn w:val="CommentText"/>
    <w:next w:val="CommentText"/>
    <w:link w:val="CommentSubjectChar"/>
    <w:unhideWhenUsed/>
    <w:rsid w:val="00810F69"/>
    <w:rPr>
      <w:b/>
      <w:bCs/>
      <w:szCs w:val="20"/>
    </w:rPr>
  </w:style>
  <w:style w:type="character" w:customStyle="1" w:styleId="CommentSubjectChar">
    <w:name w:val="Comment Subject Char"/>
    <w:basedOn w:val="CommentTextChar"/>
    <w:link w:val="CommentSubject"/>
    <w:rsid w:val="00810F69"/>
    <w:rPr>
      <w:rFonts w:ascii="Times New Roman" w:eastAsia="Times New Roman" w:hAnsi="Times New Roman" w:cs="Times New Roman"/>
      <w:b/>
      <w:bCs/>
      <w:sz w:val="20"/>
      <w:szCs w:val="20"/>
      <w:lang w:val="es-ES" w:eastAsia="es-ES"/>
    </w:rPr>
  </w:style>
  <w:style w:type="paragraph" w:customStyle="1" w:styleId="ParaAttribute1">
    <w:name w:val="ParaAttribute1"/>
    <w:rsid w:val="00810F69"/>
    <w:pPr>
      <w:spacing w:after="0" w:line="240" w:lineRule="auto"/>
      <w:ind w:right="-1"/>
      <w:jc w:val="both"/>
    </w:pPr>
    <w:rPr>
      <w:rFonts w:ascii="Times New Roman" w:eastAsia="¹Å" w:hAnsi="Times New Roman" w:cs="Times New Roman"/>
      <w:sz w:val="20"/>
      <w:szCs w:val="20"/>
      <w:lang w:eastAsia="es-MX"/>
    </w:rPr>
  </w:style>
  <w:style w:type="character" w:customStyle="1" w:styleId="CharAttribute6">
    <w:name w:val="CharAttribute6"/>
    <w:rsid w:val="00810F69"/>
    <w:rPr>
      <w:rFonts w:ascii="Arial" w:eastAsia="Times New Roman"/>
      <w:sz w:val="24"/>
    </w:rPr>
  </w:style>
  <w:style w:type="character" w:customStyle="1" w:styleId="CharAttribute3">
    <w:name w:val="CharAttribute3"/>
    <w:rsid w:val="00810F69"/>
    <w:rPr>
      <w:rFonts w:ascii="Arial" w:eastAsia="Times New Roman"/>
      <w:sz w:val="24"/>
    </w:rPr>
  </w:style>
  <w:style w:type="paragraph" w:styleId="Revision">
    <w:name w:val="Revision"/>
    <w:hidden/>
    <w:uiPriority w:val="99"/>
    <w:semiHidden/>
    <w:rsid w:val="00810F69"/>
    <w:pPr>
      <w:spacing w:after="0" w:line="240" w:lineRule="auto"/>
    </w:pPr>
    <w:rPr>
      <w:rFonts w:ascii="Times New Roman" w:eastAsia="Times New Roman" w:hAnsi="Times New Roman" w:cs="Times New Roman"/>
      <w:sz w:val="24"/>
      <w:szCs w:val="24"/>
      <w:lang w:val="es-ES" w:eastAsia="es-ES"/>
    </w:rPr>
  </w:style>
  <w:style w:type="numbering" w:customStyle="1" w:styleId="Sinlista4">
    <w:name w:val="Sin lista4"/>
    <w:next w:val="NoList"/>
    <w:uiPriority w:val="99"/>
    <w:semiHidden/>
    <w:unhideWhenUsed/>
    <w:rsid w:val="00810F69"/>
  </w:style>
  <w:style w:type="paragraph" w:styleId="BodyTextIndent">
    <w:name w:val="Body Text Indent"/>
    <w:basedOn w:val="Normal"/>
    <w:link w:val="BodyTextIndentChar"/>
    <w:rsid w:val="00810F69"/>
    <w:pPr>
      <w:spacing w:after="0" w:line="240" w:lineRule="auto"/>
      <w:ind w:left="426"/>
      <w:jc w:val="both"/>
    </w:pPr>
    <w:rPr>
      <w:rFonts w:ascii="Arial" w:eastAsia="Times New Roman" w:hAnsi="Arial"/>
      <w:sz w:val="28"/>
      <w:szCs w:val="20"/>
      <w:lang w:eastAsia="es-ES"/>
    </w:rPr>
  </w:style>
  <w:style w:type="character" w:customStyle="1" w:styleId="BodyTextIndentChar">
    <w:name w:val="Body Text Indent Char"/>
    <w:basedOn w:val="DefaultParagraphFont"/>
    <w:link w:val="BodyTextIndent"/>
    <w:rsid w:val="00810F69"/>
    <w:rPr>
      <w:rFonts w:ascii="Arial" w:eastAsia="Times New Roman" w:hAnsi="Arial" w:cs="Times New Roman"/>
      <w:sz w:val="28"/>
      <w:szCs w:val="20"/>
      <w:lang w:eastAsia="es-ES"/>
    </w:rPr>
  </w:style>
  <w:style w:type="character" w:customStyle="1" w:styleId="negritas">
    <w:name w:val="negritas"/>
    <w:rsid w:val="00810F69"/>
  </w:style>
  <w:style w:type="paragraph" w:customStyle="1" w:styleId="sangria">
    <w:name w:val="sangria"/>
    <w:basedOn w:val="Normal"/>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link w:val="ROMANOSCar"/>
    <w:rsid w:val="00810F6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10F69"/>
    <w:rPr>
      <w:rFonts w:ascii="Arial" w:eastAsia="Times New Roman" w:hAnsi="Arial" w:cs="Arial"/>
      <w:sz w:val="18"/>
      <w:szCs w:val="18"/>
      <w:lang w:val="es-ES" w:eastAsia="es-ES"/>
    </w:rPr>
  </w:style>
  <w:style w:type="paragraph" w:customStyle="1" w:styleId="ANOTACION">
    <w:name w:val="ANOTACION"/>
    <w:basedOn w:val="Normal"/>
    <w:link w:val="ANOTACIONCar"/>
    <w:rsid w:val="00810F6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810F69"/>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10F6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Cuerpo">
    <w:name w:val="Cuerpo"/>
    <w:rsid w:val="00810F6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NI"/>
    </w:rPr>
  </w:style>
  <w:style w:type="paragraph" w:customStyle="1" w:styleId="xl130">
    <w:name w:val="xl130"/>
    <w:basedOn w:val="Normal"/>
    <w:rsid w:val="00810F6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table" w:customStyle="1" w:styleId="Tablaconcuadrcula4">
    <w:name w:val="Tabla con cuadrícula4"/>
    <w:basedOn w:val="TableNormal"/>
    <w:next w:val="TableGrid"/>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10F69"/>
    <w:pPr>
      <w:spacing w:after="0" w:line="240" w:lineRule="auto"/>
    </w:pPr>
    <w:rPr>
      <w:rFonts w:ascii="Calibri" w:eastAsia="Calibri" w:hAnsi="Calibri" w:cs="Times New Roman"/>
      <w:color w:val="76923C" w:themeColor="accent3" w:themeShade="BF"/>
      <w:sz w:val="20"/>
      <w:szCs w:val="20"/>
      <w:lang w:eastAsia="es-MX"/>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5">
    <w:name w:val="Tabla con cuadrícula5"/>
    <w:basedOn w:val="TableNormal"/>
    <w:next w:val="TableGrid"/>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1">
    <w:name w:val="Estilo41"/>
    <w:uiPriority w:val="99"/>
    <w:rsid w:val="00810F69"/>
    <w:pPr>
      <w:numPr>
        <w:numId w:val="9"/>
      </w:numPr>
    </w:pPr>
  </w:style>
  <w:style w:type="numbering" w:customStyle="1" w:styleId="Estilo141">
    <w:name w:val="Estilo141"/>
    <w:uiPriority w:val="99"/>
    <w:rsid w:val="00810F69"/>
    <w:pPr>
      <w:numPr>
        <w:numId w:val="10"/>
      </w:numPr>
    </w:pPr>
  </w:style>
  <w:style w:type="numbering" w:customStyle="1" w:styleId="Style11">
    <w:name w:val="Style11"/>
    <w:uiPriority w:val="99"/>
    <w:rsid w:val="00810F69"/>
    <w:pPr>
      <w:numPr>
        <w:numId w:val="11"/>
      </w:numPr>
    </w:pPr>
  </w:style>
  <w:style w:type="table" w:customStyle="1" w:styleId="Tablaconcuadrcula6">
    <w:name w:val="Tabla con cuadrícula6"/>
    <w:basedOn w:val="TableNormal"/>
    <w:next w:val="TableGrid"/>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NoList"/>
    <w:uiPriority w:val="99"/>
    <w:semiHidden/>
    <w:unhideWhenUsed/>
    <w:rsid w:val="00810F69"/>
  </w:style>
  <w:style w:type="table" w:customStyle="1" w:styleId="Tablaconcuadrcula7">
    <w:name w:val="Tabla con cuadrícula7"/>
    <w:basedOn w:val="TableNormal"/>
    <w:next w:val="TableGrid"/>
    <w:uiPriority w:val="59"/>
    <w:rsid w:val="00810F69"/>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Car">
    <w:name w:val="Estilo Car"/>
    <w:basedOn w:val="DefaultParagraphFont"/>
    <w:link w:val="Estilo"/>
    <w:rsid w:val="00810F69"/>
    <w:rPr>
      <w:rFonts w:ascii="Times New Roman" w:eastAsia="Times New Roman" w:hAnsi="Times New Roman" w:cs="Times New Roman"/>
      <w:sz w:val="24"/>
      <w:szCs w:val="24"/>
      <w:lang w:val="es-ES" w:eastAsia="es-ES"/>
    </w:rPr>
  </w:style>
  <w:style w:type="paragraph" w:customStyle="1" w:styleId="a1">
    <w:name w:val="õ"/>
    <w:rsid w:val="00810F6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extocomentarioCar1">
    <w:name w:val="Texto comentario Car1"/>
    <w:basedOn w:val="DefaultParagraphFont"/>
    <w:uiPriority w:val="99"/>
    <w:semiHidden/>
    <w:rsid w:val="00810F69"/>
    <w:rPr>
      <w:rFonts w:ascii="Calibri" w:eastAsia="Calibri" w:hAnsi="Calibri" w:cs="Times New Roman"/>
      <w:sz w:val="20"/>
      <w:szCs w:val="20"/>
    </w:rPr>
  </w:style>
  <w:style w:type="character" w:customStyle="1" w:styleId="AsuntodelcomentarioCar1">
    <w:name w:val="Asunto del comentario Car1"/>
    <w:basedOn w:val="CommentTextChar"/>
    <w:uiPriority w:val="99"/>
    <w:semiHidden/>
    <w:rsid w:val="00810F69"/>
    <w:rPr>
      <w:rFonts w:ascii="Times New Roman" w:eastAsia="Times New Roman" w:hAnsi="Times New Roman" w:cs="Times New Roman"/>
      <w:b/>
      <w:bCs/>
      <w:sz w:val="20"/>
      <w:szCs w:val="24"/>
      <w:lang w:val="es-ES" w:eastAsia="es-ES"/>
    </w:rPr>
  </w:style>
  <w:style w:type="character" w:customStyle="1" w:styleId="TextodegloboCar1">
    <w:name w:val="Texto de globo Car1"/>
    <w:basedOn w:val="DefaultParagraphFont"/>
    <w:uiPriority w:val="99"/>
    <w:semiHidden/>
    <w:rsid w:val="00810F69"/>
    <w:rPr>
      <w:rFonts w:ascii="Tahoma" w:eastAsia="Calibri" w:hAnsi="Tahoma" w:cs="Tahoma"/>
      <w:sz w:val="16"/>
      <w:szCs w:val="16"/>
    </w:rPr>
  </w:style>
  <w:style w:type="character" w:customStyle="1" w:styleId="juizltcontent">
    <w:name w:val="juiz_lt_content"/>
    <w:basedOn w:val="DefaultParagraphFont"/>
    <w:rsid w:val="00810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0F69"/>
    <w:rPr>
      <w:rFonts w:ascii="Calibri" w:eastAsia="Calibri" w:hAnsi="Calibri" w:cs="Times New Roman"/>
    </w:rPr>
  </w:style>
  <w:style w:type="paragraph" w:styleId="Heading1">
    <w:name w:val="heading 1"/>
    <w:basedOn w:val="Normal"/>
    <w:next w:val="Normal"/>
    <w:link w:val="Heading1Char"/>
    <w:qFormat/>
    <w:rsid w:val="00810F69"/>
    <w:pPr>
      <w:keepNext/>
      <w:spacing w:after="0" w:line="240" w:lineRule="auto"/>
      <w:outlineLvl w:val="0"/>
    </w:pPr>
    <w:rPr>
      <w:rFonts w:ascii="Times New Roman" w:hAnsi="Times New Roman"/>
      <w:b/>
      <w:bCs/>
      <w:sz w:val="24"/>
      <w:szCs w:val="24"/>
      <w:lang w:val="es-ES" w:eastAsia="es-ES"/>
    </w:rPr>
  </w:style>
  <w:style w:type="paragraph" w:styleId="Heading2">
    <w:name w:val="heading 2"/>
    <w:basedOn w:val="Normal"/>
    <w:next w:val="Normal"/>
    <w:link w:val="Heading2Char"/>
    <w:qFormat/>
    <w:rsid w:val="00810F69"/>
    <w:pPr>
      <w:keepNext/>
      <w:spacing w:after="0" w:line="240" w:lineRule="auto"/>
      <w:ind w:left="540" w:hanging="12"/>
      <w:jc w:val="center"/>
      <w:outlineLvl w:val="1"/>
    </w:pPr>
    <w:rPr>
      <w:rFonts w:ascii="Century" w:hAnsi="Century"/>
      <w:b/>
      <w:sz w:val="24"/>
      <w:szCs w:val="24"/>
      <w:lang w:val="es-ES" w:eastAsia="es-ES"/>
    </w:rPr>
  </w:style>
  <w:style w:type="paragraph" w:styleId="Heading3">
    <w:name w:val="heading 3"/>
    <w:basedOn w:val="Normal"/>
    <w:next w:val="Normal"/>
    <w:link w:val="Heading3Char"/>
    <w:qFormat/>
    <w:rsid w:val="00810F69"/>
    <w:pPr>
      <w:keepNext/>
      <w:spacing w:after="0" w:line="240" w:lineRule="auto"/>
      <w:jc w:val="center"/>
      <w:outlineLvl w:val="2"/>
    </w:pPr>
    <w:rPr>
      <w:rFonts w:ascii="Times New Roman" w:hAnsi="Times New Roman"/>
      <w:b/>
      <w:bCs/>
      <w:sz w:val="15"/>
      <w:szCs w:val="15"/>
      <w:lang w:val="es-ES" w:eastAsia="es-ES"/>
    </w:rPr>
  </w:style>
  <w:style w:type="paragraph" w:styleId="Heading4">
    <w:name w:val="heading 4"/>
    <w:basedOn w:val="Normal"/>
    <w:next w:val="Normal"/>
    <w:link w:val="Heading4Char"/>
    <w:uiPriority w:val="9"/>
    <w:qFormat/>
    <w:rsid w:val="00810F69"/>
    <w:pPr>
      <w:keepNext/>
      <w:spacing w:after="0" w:line="240" w:lineRule="auto"/>
      <w:jc w:val="both"/>
      <w:outlineLvl w:val="3"/>
    </w:pPr>
    <w:rPr>
      <w:rFonts w:ascii="Times New Roman" w:eastAsia="Times New Roman" w:hAnsi="Times New Roman"/>
      <w:b/>
      <w:bCs/>
      <w:sz w:val="20"/>
      <w:szCs w:val="24"/>
      <w:lang w:val="es-ES" w:eastAsia="es-ES"/>
    </w:rPr>
  </w:style>
  <w:style w:type="paragraph" w:styleId="Heading5">
    <w:name w:val="heading 5"/>
    <w:basedOn w:val="Normal"/>
    <w:next w:val="Normal"/>
    <w:link w:val="Heading5Char"/>
    <w:qFormat/>
    <w:rsid w:val="00810F69"/>
    <w:pPr>
      <w:keepNext/>
      <w:spacing w:after="0" w:line="264" w:lineRule="auto"/>
      <w:outlineLvl w:val="4"/>
    </w:pPr>
    <w:rPr>
      <w:rFonts w:ascii="Arial" w:hAnsi="Arial"/>
      <w:b/>
      <w:bCs/>
      <w:sz w:val="18"/>
      <w:szCs w:val="18"/>
      <w:lang w:val="es-ES_tradnl" w:eastAsia="es-ES"/>
    </w:rPr>
  </w:style>
  <w:style w:type="paragraph" w:styleId="Heading6">
    <w:name w:val="heading 6"/>
    <w:basedOn w:val="Normal"/>
    <w:next w:val="Normal"/>
    <w:link w:val="Heading6Char"/>
    <w:qFormat/>
    <w:rsid w:val="00810F69"/>
    <w:pPr>
      <w:keepNext/>
      <w:spacing w:after="0" w:line="264" w:lineRule="auto"/>
      <w:outlineLvl w:val="5"/>
    </w:pPr>
    <w:rPr>
      <w:rFonts w:ascii="Arial" w:eastAsia="Times New Roman" w:hAnsi="Arial"/>
      <w:b/>
      <w:sz w:val="14"/>
      <w:szCs w:val="20"/>
      <w:lang w:val="es-ES_tradnl" w:eastAsia="es-ES"/>
    </w:rPr>
  </w:style>
  <w:style w:type="paragraph" w:styleId="Heading7">
    <w:name w:val="heading 7"/>
    <w:basedOn w:val="Normal"/>
    <w:next w:val="Normal"/>
    <w:link w:val="Heading7Char"/>
    <w:qFormat/>
    <w:rsid w:val="00810F69"/>
    <w:pPr>
      <w:keepNext/>
      <w:spacing w:before="120" w:after="0" w:line="240" w:lineRule="auto"/>
      <w:jc w:val="center"/>
      <w:outlineLvl w:val="6"/>
    </w:pPr>
    <w:rPr>
      <w:rFonts w:ascii="Century" w:hAnsi="Century"/>
      <w:b/>
      <w:bCs/>
      <w:sz w:val="24"/>
      <w:szCs w:val="24"/>
      <w:lang w:val="es-ES" w:eastAsia="es-ES"/>
    </w:rPr>
  </w:style>
  <w:style w:type="paragraph" w:styleId="Heading8">
    <w:name w:val="heading 8"/>
    <w:basedOn w:val="Normal"/>
    <w:next w:val="Normal"/>
    <w:link w:val="Heading8Char"/>
    <w:qFormat/>
    <w:rsid w:val="00810F69"/>
    <w:pPr>
      <w:keepNext/>
      <w:spacing w:after="0" w:line="240" w:lineRule="auto"/>
      <w:jc w:val="center"/>
      <w:outlineLvl w:val="7"/>
    </w:pPr>
    <w:rPr>
      <w:rFonts w:ascii="Times New Roman" w:hAnsi="Times New Roman"/>
      <w:b/>
      <w:bCs/>
      <w:sz w:val="24"/>
      <w:szCs w:val="24"/>
      <w:lang w:val="es-ES" w:eastAsia="es-ES"/>
    </w:rPr>
  </w:style>
  <w:style w:type="paragraph" w:styleId="Heading9">
    <w:name w:val="heading 9"/>
    <w:basedOn w:val="Normal"/>
    <w:next w:val="Normal"/>
    <w:link w:val="Heading9Char"/>
    <w:qFormat/>
    <w:rsid w:val="00810F69"/>
    <w:pPr>
      <w:keepNext/>
      <w:spacing w:before="120" w:after="120" w:line="240" w:lineRule="auto"/>
      <w:jc w:val="center"/>
      <w:outlineLvl w:val="8"/>
    </w:pPr>
    <w:rPr>
      <w:rFonts w:ascii="Arial" w:hAnsi="Arial"/>
      <w:b/>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F69"/>
    <w:rPr>
      <w:rFonts w:ascii="Times New Roman" w:eastAsia="Calibri" w:hAnsi="Times New Roman" w:cs="Times New Roman"/>
      <w:b/>
      <w:bCs/>
      <w:sz w:val="24"/>
      <w:szCs w:val="24"/>
      <w:lang w:val="es-ES" w:eastAsia="es-ES"/>
    </w:rPr>
  </w:style>
  <w:style w:type="character" w:customStyle="1" w:styleId="Heading2Char">
    <w:name w:val="Heading 2 Char"/>
    <w:basedOn w:val="DefaultParagraphFont"/>
    <w:link w:val="Heading2"/>
    <w:rsid w:val="00810F69"/>
    <w:rPr>
      <w:rFonts w:ascii="Century" w:eastAsia="Calibri" w:hAnsi="Century" w:cs="Times New Roman"/>
      <w:b/>
      <w:sz w:val="24"/>
      <w:szCs w:val="24"/>
      <w:lang w:val="es-ES" w:eastAsia="es-ES"/>
    </w:rPr>
  </w:style>
  <w:style w:type="character" w:customStyle="1" w:styleId="Heading3Char">
    <w:name w:val="Heading 3 Char"/>
    <w:basedOn w:val="DefaultParagraphFont"/>
    <w:link w:val="Heading3"/>
    <w:rsid w:val="00810F69"/>
    <w:rPr>
      <w:rFonts w:ascii="Times New Roman" w:eastAsia="Calibri" w:hAnsi="Times New Roman" w:cs="Times New Roman"/>
      <w:b/>
      <w:bCs/>
      <w:sz w:val="15"/>
      <w:szCs w:val="15"/>
      <w:lang w:val="es-ES" w:eastAsia="es-ES"/>
    </w:rPr>
  </w:style>
  <w:style w:type="character" w:customStyle="1" w:styleId="Heading4Char">
    <w:name w:val="Heading 4 Char"/>
    <w:basedOn w:val="DefaultParagraphFont"/>
    <w:link w:val="Heading4"/>
    <w:uiPriority w:val="9"/>
    <w:rsid w:val="00810F69"/>
    <w:rPr>
      <w:rFonts w:ascii="Times New Roman" w:eastAsia="Times New Roman" w:hAnsi="Times New Roman" w:cs="Times New Roman"/>
      <w:b/>
      <w:bCs/>
      <w:sz w:val="20"/>
      <w:szCs w:val="24"/>
      <w:lang w:val="es-ES" w:eastAsia="es-ES"/>
    </w:rPr>
  </w:style>
  <w:style w:type="character" w:customStyle="1" w:styleId="Heading5Char">
    <w:name w:val="Heading 5 Char"/>
    <w:basedOn w:val="DefaultParagraphFont"/>
    <w:link w:val="Heading5"/>
    <w:rsid w:val="00810F69"/>
    <w:rPr>
      <w:rFonts w:ascii="Arial" w:eastAsia="Calibri" w:hAnsi="Arial" w:cs="Times New Roman"/>
      <w:b/>
      <w:bCs/>
      <w:sz w:val="18"/>
      <w:szCs w:val="18"/>
      <w:lang w:val="es-ES_tradnl" w:eastAsia="es-ES"/>
    </w:rPr>
  </w:style>
  <w:style w:type="character" w:customStyle="1" w:styleId="Heading6Char">
    <w:name w:val="Heading 6 Char"/>
    <w:basedOn w:val="DefaultParagraphFont"/>
    <w:link w:val="Heading6"/>
    <w:rsid w:val="00810F69"/>
    <w:rPr>
      <w:rFonts w:ascii="Arial" w:eastAsia="Times New Roman" w:hAnsi="Arial" w:cs="Times New Roman"/>
      <w:b/>
      <w:sz w:val="14"/>
      <w:szCs w:val="20"/>
      <w:lang w:val="es-ES_tradnl" w:eastAsia="es-ES"/>
    </w:rPr>
  </w:style>
  <w:style w:type="character" w:customStyle="1" w:styleId="Heading7Char">
    <w:name w:val="Heading 7 Char"/>
    <w:basedOn w:val="DefaultParagraphFont"/>
    <w:link w:val="Heading7"/>
    <w:rsid w:val="00810F69"/>
    <w:rPr>
      <w:rFonts w:ascii="Century" w:eastAsia="Calibri" w:hAnsi="Century" w:cs="Times New Roman"/>
      <w:b/>
      <w:bCs/>
      <w:sz w:val="24"/>
      <w:szCs w:val="24"/>
      <w:lang w:val="es-ES" w:eastAsia="es-ES"/>
    </w:rPr>
  </w:style>
  <w:style w:type="character" w:customStyle="1" w:styleId="Heading8Char">
    <w:name w:val="Heading 8 Char"/>
    <w:basedOn w:val="DefaultParagraphFont"/>
    <w:link w:val="Heading8"/>
    <w:rsid w:val="00810F69"/>
    <w:rPr>
      <w:rFonts w:ascii="Times New Roman" w:eastAsia="Calibri" w:hAnsi="Times New Roman" w:cs="Times New Roman"/>
      <w:b/>
      <w:bCs/>
      <w:sz w:val="24"/>
      <w:szCs w:val="24"/>
      <w:lang w:val="es-ES" w:eastAsia="es-ES"/>
    </w:rPr>
  </w:style>
  <w:style w:type="character" w:customStyle="1" w:styleId="Heading9Char">
    <w:name w:val="Heading 9 Char"/>
    <w:basedOn w:val="DefaultParagraphFont"/>
    <w:link w:val="Heading9"/>
    <w:rsid w:val="00810F69"/>
    <w:rPr>
      <w:rFonts w:ascii="Arial" w:eastAsia="Calibri" w:hAnsi="Arial" w:cs="Times New Roman"/>
      <w:b/>
      <w:sz w:val="24"/>
      <w:szCs w:val="24"/>
      <w:lang w:val="es-ES" w:eastAsia="es-ES"/>
    </w:rPr>
  </w:style>
  <w:style w:type="paragraph" w:styleId="NoSpacing">
    <w:name w:val="No Spacing"/>
    <w:uiPriority w:val="1"/>
    <w:qFormat/>
    <w:rsid w:val="00810F6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0F69"/>
    <w:pPr>
      <w:tabs>
        <w:tab w:val="center" w:pos="4419"/>
        <w:tab w:val="right" w:pos="8838"/>
      </w:tabs>
    </w:pPr>
    <w:rPr>
      <w:sz w:val="20"/>
      <w:szCs w:val="20"/>
    </w:rPr>
  </w:style>
  <w:style w:type="character" w:customStyle="1" w:styleId="HeaderChar">
    <w:name w:val="Header Char"/>
    <w:basedOn w:val="DefaultParagraphFont"/>
    <w:link w:val="Header"/>
    <w:uiPriority w:val="99"/>
    <w:rsid w:val="00810F69"/>
    <w:rPr>
      <w:rFonts w:ascii="Calibri" w:eastAsia="Calibri" w:hAnsi="Calibri" w:cs="Times New Roman"/>
      <w:sz w:val="20"/>
      <w:szCs w:val="20"/>
    </w:rPr>
  </w:style>
  <w:style w:type="character" w:styleId="Strong">
    <w:name w:val="Strong"/>
    <w:uiPriority w:val="22"/>
    <w:qFormat/>
    <w:rsid w:val="00810F69"/>
    <w:rPr>
      <w:b/>
      <w:bCs/>
    </w:rPr>
  </w:style>
  <w:style w:type="paragraph" w:styleId="BodyText2">
    <w:name w:val="Body Text 2"/>
    <w:basedOn w:val="Normal"/>
    <w:link w:val="BodyText2Char"/>
    <w:uiPriority w:val="99"/>
    <w:rsid w:val="00810F69"/>
    <w:pPr>
      <w:spacing w:after="0" w:line="240" w:lineRule="auto"/>
    </w:pPr>
    <w:rPr>
      <w:rFonts w:ascii="Arial" w:eastAsia="Times New Roman" w:hAnsi="Arial"/>
      <w:sz w:val="24"/>
      <w:szCs w:val="10"/>
      <w:lang w:val="es-ES" w:eastAsia="es-ES"/>
    </w:rPr>
  </w:style>
  <w:style w:type="character" w:customStyle="1" w:styleId="BodyText2Char">
    <w:name w:val="Body Text 2 Char"/>
    <w:basedOn w:val="DefaultParagraphFont"/>
    <w:link w:val="BodyText2"/>
    <w:uiPriority w:val="99"/>
    <w:rsid w:val="00810F69"/>
    <w:rPr>
      <w:rFonts w:ascii="Arial" w:eastAsia="Times New Roman" w:hAnsi="Arial" w:cs="Times New Roman"/>
      <w:sz w:val="24"/>
      <w:szCs w:val="10"/>
      <w:lang w:val="es-ES" w:eastAsia="es-ES"/>
    </w:rPr>
  </w:style>
  <w:style w:type="paragraph" w:styleId="Footer">
    <w:name w:val="footer"/>
    <w:basedOn w:val="Normal"/>
    <w:link w:val="FooterChar"/>
    <w:uiPriority w:val="99"/>
    <w:unhideWhenUsed/>
    <w:rsid w:val="00810F69"/>
    <w:pPr>
      <w:tabs>
        <w:tab w:val="center" w:pos="4419"/>
        <w:tab w:val="right" w:pos="8838"/>
      </w:tabs>
    </w:pPr>
  </w:style>
  <w:style w:type="character" w:customStyle="1" w:styleId="FooterChar">
    <w:name w:val="Footer Char"/>
    <w:basedOn w:val="DefaultParagraphFont"/>
    <w:link w:val="Footer"/>
    <w:uiPriority w:val="99"/>
    <w:rsid w:val="00810F69"/>
    <w:rPr>
      <w:rFonts w:ascii="Calibri" w:eastAsia="Calibri" w:hAnsi="Calibri" w:cs="Times New Roman"/>
    </w:rPr>
  </w:style>
  <w:style w:type="paragraph" w:styleId="BalloonText">
    <w:name w:val="Balloon Text"/>
    <w:basedOn w:val="Normal"/>
    <w:link w:val="BalloonTextChar"/>
    <w:uiPriority w:val="99"/>
    <w:unhideWhenUsed/>
    <w:rsid w:val="00810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0F69"/>
    <w:rPr>
      <w:rFonts w:ascii="Segoe UI" w:eastAsia="Calibri" w:hAnsi="Segoe UI" w:cs="Segoe UI"/>
      <w:sz w:val="18"/>
      <w:szCs w:val="18"/>
    </w:rPr>
  </w:style>
  <w:style w:type="paragraph" w:styleId="ListBullet">
    <w:name w:val="List Bullet"/>
    <w:basedOn w:val="Normal"/>
    <w:uiPriority w:val="99"/>
    <w:unhideWhenUsed/>
    <w:rsid w:val="00810F69"/>
    <w:pPr>
      <w:tabs>
        <w:tab w:val="num" w:pos="360"/>
      </w:tabs>
      <w:spacing w:after="0" w:line="240" w:lineRule="auto"/>
      <w:ind w:left="360" w:hanging="360"/>
      <w:contextualSpacing/>
    </w:pPr>
    <w:rPr>
      <w:rFonts w:ascii="Times New Roman" w:eastAsia="Times New Roman" w:hAnsi="Times New Roman"/>
      <w:sz w:val="24"/>
      <w:szCs w:val="24"/>
      <w:lang w:val="es-ES" w:eastAsia="es-ES"/>
    </w:rPr>
  </w:style>
  <w:style w:type="paragraph" w:styleId="ListParagraph">
    <w:name w:val="List Paragraph"/>
    <w:basedOn w:val="Normal"/>
    <w:link w:val="ListParagraphChar"/>
    <w:uiPriority w:val="34"/>
    <w:qFormat/>
    <w:rsid w:val="00810F69"/>
    <w:pPr>
      <w:spacing w:after="0" w:line="240" w:lineRule="auto"/>
      <w:ind w:left="708"/>
    </w:pPr>
    <w:rPr>
      <w:rFonts w:ascii="Times New Roman" w:eastAsia="Times New Roman" w:hAnsi="Times New Roman"/>
      <w:sz w:val="24"/>
      <w:szCs w:val="24"/>
      <w:lang w:val="es-ES" w:eastAsia="es-ES"/>
    </w:rPr>
  </w:style>
  <w:style w:type="character" w:customStyle="1" w:styleId="ListParagraphChar">
    <w:name w:val="List Paragraph Char"/>
    <w:link w:val="ListParagraph"/>
    <w:uiPriority w:val="34"/>
    <w:locked/>
    <w:rsid w:val="00810F69"/>
    <w:rPr>
      <w:rFonts w:ascii="Times New Roman" w:eastAsia="Times New Roman" w:hAnsi="Times New Roman" w:cs="Times New Roman"/>
      <w:sz w:val="24"/>
      <w:szCs w:val="24"/>
      <w:lang w:val="es-ES" w:eastAsia="es-ES"/>
    </w:rPr>
  </w:style>
  <w:style w:type="paragraph" w:styleId="NormalWeb">
    <w:name w:val="Normal (Web)"/>
    <w:basedOn w:val="Normal"/>
    <w:uiPriority w:val="99"/>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1">
    <w:name w:val="p1"/>
    <w:basedOn w:val="Normal"/>
    <w:rsid w:val="00810F69"/>
    <w:pPr>
      <w:spacing w:after="120" w:line="240" w:lineRule="auto"/>
      <w:ind w:left="540" w:right="18"/>
      <w:jc w:val="both"/>
    </w:pPr>
    <w:rPr>
      <w:rFonts w:ascii="Times New Roman" w:eastAsia="Times New Roman" w:hAnsi="Times New Roman"/>
      <w:sz w:val="20"/>
      <w:szCs w:val="20"/>
      <w:lang w:val="es-ES" w:eastAsia="es-ES"/>
    </w:rPr>
  </w:style>
  <w:style w:type="paragraph" w:styleId="BodyText">
    <w:name w:val="Body Text"/>
    <w:basedOn w:val="Normal"/>
    <w:link w:val="BodyTextChar"/>
    <w:qFormat/>
    <w:rsid w:val="00810F69"/>
    <w:pPr>
      <w:spacing w:after="0" w:line="240" w:lineRule="auto"/>
      <w:jc w:val="both"/>
    </w:pPr>
    <w:rPr>
      <w:rFonts w:ascii="Times New Roman" w:hAnsi="Times New Roman"/>
      <w:sz w:val="20"/>
      <w:szCs w:val="20"/>
      <w:lang w:val="es-ES" w:eastAsia="es-ES"/>
    </w:rPr>
  </w:style>
  <w:style w:type="character" w:customStyle="1" w:styleId="BodyTextChar">
    <w:name w:val="Body Text Char"/>
    <w:basedOn w:val="DefaultParagraphFont"/>
    <w:link w:val="BodyText"/>
    <w:rsid w:val="00810F69"/>
    <w:rPr>
      <w:rFonts w:ascii="Times New Roman" w:eastAsia="Calibri" w:hAnsi="Times New Roman" w:cs="Times New Roman"/>
      <w:sz w:val="20"/>
      <w:szCs w:val="20"/>
      <w:lang w:val="es-ES" w:eastAsia="es-ES"/>
    </w:rPr>
  </w:style>
  <w:style w:type="paragraph" w:customStyle="1" w:styleId="ro">
    <w:name w:val="ro"/>
    <w:basedOn w:val="Normal"/>
    <w:autoRedefine/>
    <w:rsid w:val="00810F69"/>
    <w:pPr>
      <w:spacing w:after="0" w:line="240" w:lineRule="auto"/>
      <w:jc w:val="both"/>
    </w:pPr>
    <w:rPr>
      <w:rFonts w:ascii="Arial" w:eastAsia="Times New Roman" w:hAnsi="Arial" w:cs="Arial"/>
      <w:bCs/>
      <w:color w:val="0070C0"/>
      <w:lang w:eastAsia="es-ES"/>
    </w:rPr>
  </w:style>
  <w:style w:type="paragraph" w:customStyle="1" w:styleId="P2">
    <w:name w:val="P2"/>
    <w:basedOn w:val="Normal"/>
    <w:rsid w:val="00810F69"/>
    <w:pPr>
      <w:spacing w:after="120" w:line="240" w:lineRule="auto"/>
      <w:ind w:left="539"/>
      <w:jc w:val="both"/>
    </w:pPr>
    <w:rPr>
      <w:rFonts w:ascii="Century" w:eastAsia="Times New Roman" w:hAnsi="Century"/>
      <w:szCs w:val="24"/>
      <w:lang w:val="es-ES" w:eastAsia="es-ES"/>
    </w:rPr>
  </w:style>
  <w:style w:type="paragraph" w:customStyle="1" w:styleId="centrado">
    <w:name w:val="centrado"/>
    <w:basedOn w:val="Normal"/>
    <w:uiPriority w:val="99"/>
    <w:rsid w:val="00810F69"/>
    <w:pPr>
      <w:snapToGrid w:val="0"/>
      <w:spacing w:after="240" w:line="240" w:lineRule="auto"/>
      <w:jc w:val="center"/>
    </w:pPr>
    <w:rPr>
      <w:rFonts w:ascii="Times New Roman" w:eastAsia="Times New Roman" w:hAnsi="Times New Roman"/>
      <w:b/>
      <w:bCs/>
      <w:lang w:val="es-ES" w:eastAsia="es-ES"/>
    </w:rPr>
  </w:style>
  <w:style w:type="paragraph" w:customStyle="1" w:styleId="parrafo">
    <w:name w:val="parrafo"/>
    <w:basedOn w:val="Normal"/>
    <w:uiPriority w:val="99"/>
    <w:rsid w:val="00810F69"/>
    <w:pPr>
      <w:snapToGrid w:val="0"/>
      <w:spacing w:after="240" w:line="240" w:lineRule="auto"/>
      <w:jc w:val="both"/>
    </w:pPr>
    <w:rPr>
      <w:rFonts w:ascii="Times New Roman" w:eastAsia="Times New Roman" w:hAnsi="Times New Roman"/>
      <w:sz w:val="20"/>
      <w:szCs w:val="20"/>
      <w:lang w:val="es-ES" w:eastAsia="es-ES"/>
    </w:rPr>
  </w:style>
  <w:style w:type="paragraph" w:customStyle="1" w:styleId="text-incisos">
    <w:name w:val="text-incisos"/>
    <w:basedOn w:val="Normal"/>
    <w:uiPriority w:val="99"/>
    <w:rsid w:val="00810F69"/>
    <w:pPr>
      <w:widowControl w:val="0"/>
      <w:numPr>
        <w:ilvl w:val="12"/>
      </w:numPr>
      <w:spacing w:after="240" w:line="360" w:lineRule="auto"/>
      <w:ind w:left="1701"/>
      <w:jc w:val="both"/>
    </w:pPr>
    <w:rPr>
      <w:rFonts w:ascii="Times New Roman" w:eastAsia="Times New Roman" w:hAnsi="Times New Roman"/>
      <w:sz w:val="24"/>
      <w:szCs w:val="20"/>
      <w:lang w:val="es-ES_tradnl" w:eastAsia="es-ES"/>
    </w:rPr>
  </w:style>
  <w:style w:type="paragraph" w:customStyle="1" w:styleId="TA">
    <w:name w:val="TA"/>
    <w:basedOn w:val="Normal"/>
    <w:rsid w:val="00810F69"/>
    <w:pPr>
      <w:spacing w:after="0" w:line="240" w:lineRule="auto"/>
    </w:pPr>
    <w:rPr>
      <w:rFonts w:ascii="CG Omega" w:eastAsia="Times New Roman" w:hAnsi="CG Omega"/>
      <w:bCs/>
      <w:sz w:val="16"/>
      <w:szCs w:val="20"/>
      <w:lang w:val="es-ES_tradnl" w:eastAsia="es-ES"/>
    </w:rPr>
  </w:style>
  <w:style w:type="paragraph" w:customStyle="1" w:styleId="uno">
    <w:name w:val="uno"/>
    <w:basedOn w:val="Normal"/>
    <w:rsid w:val="00810F69"/>
    <w:pPr>
      <w:tabs>
        <w:tab w:val="num" w:pos="1260"/>
      </w:tabs>
      <w:spacing w:after="120" w:line="240" w:lineRule="auto"/>
      <w:ind w:left="1260" w:hanging="720"/>
    </w:pPr>
    <w:rPr>
      <w:rFonts w:ascii="Century" w:eastAsia="Times New Roman" w:hAnsi="Century"/>
      <w:b/>
      <w:bCs/>
      <w:szCs w:val="24"/>
      <w:lang w:val="es-ES" w:eastAsia="es-ES"/>
    </w:rPr>
  </w:style>
  <w:style w:type="paragraph" w:customStyle="1" w:styleId="a">
    <w:name w:val="a"/>
    <w:basedOn w:val="uno"/>
    <w:rsid w:val="00810F69"/>
    <w:pPr>
      <w:tabs>
        <w:tab w:val="clear" w:pos="1260"/>
        <w:tab w:val="num" w:pos="1751"/>
      </w:tabs>
      <w:ind w:left="1751" w:hanging="851"/>
      <w:jc w:val="both"/>
    </w:pPr>
    <w:rPr>
      <w:lang w:val="es-MX"/>
    </w:rPr>
  </w:style>
  <w:style w:type="paragraph" w:customStyle="1" w:styleId="A0">
    <w:name w:val="A"/>
    <w:basedOn w:val="Normal"/>
    <w:rsid w:val="00810F69"/>
    <w:pPr>
      <w:spacing w:after="120" w:line="360" w:lineRule="auto"/>
      <w:jc w:val="both"/>
    </w:pPr>
    <w:rPr>
      <w:rFonts w:ascii="Times New Roman" w:eastAsia="Times New Roman" w:hAnsi="Times New Roman"/>
      <w:szCs w:val="20"/>
      <w:lang w:eastAsia="es-ES"/>
    </w:rPr>
  </w:style>
  <w:style w:type="paragraph" w:customStyle="1" w:styleId="xl29">
    <w:name w:val="xl29"/>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lang w:val="es-ES" w:eastAsia="es-ES"/>
    </w:rPr>
  </w:style>
  <w:style w:type="paragraph" w:customStyle="1" w:styleId="N">
    <w:name w:val="N"/>
    <w:basedOn w:val="p1"/>
    <w:rsid w:val="00810F69"/>
    <w:pPr>
      <w:ind w:left="539" w:right="0"/>
    </w:pPr>
    <w:rPr>
      <w:rFonts w:ascii="Century" w:hAnsi="Century"/>
      <w:b/>
      <w:bCs/>
      <w:sz w:val="22"/>
    </w:rPr>
  </w:style>
  <w:style w:type="paragraph" w:customStyle="1" w:styleId="xl25">
    <w:name w:val="xl25"/>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16"/>
      <w:szCs w:val="16"/>
      <w:lang w:val="es-ES" w:eastAsia="es-ES"/>
    </w:rPr>
  </w:style>
  <w:style w:type="paragraph" w:styleId="PlainText">
    <w:name w:val="Plain Text"/>
    <w:basedOn w:val="Normal"/>
    <w:link w:val="PlainTextChar"/>
    <w:rsid w:val="00810F69"/>
    <w:pPr>
      <w:spacing w:after="0" w:line="240" w:lineRule="auto"/>
    </w:pPr>
    <w:rPr>
      <w:rFonts w:ascii="Courier New" w:hAnsi="Courier New"/>
      <w:sz w:val="20"/>
      <w:szCs w:val="20"/>
      <w:lang w:val="es-ES" w:eastAsia="es-ES"/>
    </w:rPr>
  </w:style>
  <w:style w:type="character" w:customStyle="1" w:styleId="PlainTextChar">
    <w:name w:val="Plain Text Char"/>
    <w:basedOn w:val="DefaultParagraphFont"/>
    <w:link w:val="PlainText"/>
    <w:rsid w:val="00810F69"/>
    <w:rPr>
      <w:rFonts w:ascii="Courier New" w:eastAsia="Calibri" w:hAnsi="Courier New" w:cs="Times New Roman"/>
      <w:sz w:val="20"/>
      <w:szCs w:val="20"/>
      <w:lang w:val="es-ES" w:eastAsia="es-ES"/>
    </w:rPr>
  </w:style>
  <w:style w:type="paragraph" w:customStyle="1" w:styleId="ecxt">
    <w:name w:val="ecxt"/>
    <w:basedOn w:val="Normal"/>
    <w:uiPriority w:val="99"/>
    <w:rsid w:val="00810F69"/>
    <w:pPr>
      <w:spacing w:after="324" w:line="240" w:lineRule="auto"/>
    </w:pPr>
    <w:rPr>
      <w:rFonts w:ascii="Times New Roman" w:eastAsia="Times New Roman" w:hAnsi="Times New Roman"/>
      <w:sz w:val="24"/>
      <w:szCs w:val="24"/>
      <w:lang w:val="es-ES" w:eastAsia="es-ES"/>
    </w:rPr>
  </w:style>
  <w:style w:type="paragraph" w:customStyle="1" w:styleId="Forma">
    <w:name w:val="Forma"/>
    <w:basedOn w:val="Normal"/>
    <w:link w:val="FormaCar"/>
    <w:rsid w:val="00810F69"/>
    <w:pPr>
      <w:spacing w:after="0" w:line="240" w:lineRule="auto"/>
      <w:jc w:val="both"/>
    </w:pPr>
    <w:rPr>
      <w:rFonts w:ascii="Arial Narrow" w:eastAsia="Times New Roman" w:hAnsi="Arial Narrow"/>
      <w:sz w:val="18"/>
      <w:szCs w:val="24"/>
      <w:lang w:eastAsia="es-ES"/>
    </w:rPr>
  </w:style>
  <w:style w:type="character" w:customStyle="1" w:styleId="FormaCar">
    <w:name w:val="Forma Car"/>
    <w:basedOn w:val="DefaultParagraphFont"/>
    <w:link w:val="Forma"/>
    <w:rsid w:val="00810F69"/>
    <w:rPr>
      <w:rFonts w:ascii="Arial Narrow" w:eastAsia="Times New Roman" w:hAnsi="Arial Narrow" w:cs="Times New Roman"/>
      <w:sz w:val="18"/>
      <w:szCs w:val="24"/>
      <w:lang w:eastAsia="es-ES"/>
    </w:rPr>
  </w:style>
  <w:style w:type="paragraph" w:styleId="Title">
    <w:name w:val="Title"/>
    <w:basedOn w:val="Normal"/>
    <w:link w:val="TitleChar"/>
    <w:qFormat/>
    <w:rsid w:val="00810F69"/>
    <w:pPr>
      <w:spacing w:after="0" w:line="240" w:lineRule="auto"/>
      <w:jc w:val="center"/>
    </w:pPr>
    <w:rPr>
      <w:rFonts w:ascii="Verdana" w:eastAsia="Times New Roman" w:hAnsi="Verdana"/>
      <w:b/>
      <w:bCs/>
      <w:sz w:val="24"/>
      <w:szCs w:val="24"/>
      <w:lang w:val="es-ES" w:eastAsia="es-ES"/>
    </w:rPr>
  </w:style>
  <w:style w:type="character" w:customStyle="1" w:styleId="TtuloCar">
    <w:name w:val="Título Car"/>
    <w:basedOn w:val="DefaultParagraphFont"/>
    <w:rsid w:val="00810F69"/>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0F69"/>
    <w:rPr>
      <w:rFonts w:ascii="Verdana" w:eastAsia="Times New Roman" w:hAnsi="Verdana" w:cs="Times New Roman"/>
      <w:b/>
      <w:bCs/>
      <w:sz w:val="24"/>
      <w:szCs w:val="24"/>
      <w:lang w:val="es-ES" w:eastAsia="es-ES"/>
    </w:rPr>
  </w:style>
  <w:style w:type="paragraph" w:styleId="Subtitle">
    <w:name w:val="Subtitle"/>
    <w:basedOn w:val="Normal"/>
    <w:link w:val="SubtitleChar"/>
    <w:qFormat/>
    <w:rsid w:val="00810F69"/>
    <w:pPr>
      <w:spacing w:after="480" w:line="240" w:lineRule="auto"/>
      <w:jc w:val="center"/>
    </w:pPr>
    <w:rPr>
      <w:rFonts w:ascii="Times New Roman" w:eastAsia="Times New Roman" w:hAnsi="Times New Roman"/>
      <w:sz w:val="28"/>
      <w:szCs w:val="20"/>
      <w:lang w:eastAsia="es-ES"/>
    </w:rPr>
  </w:style>
  <w:style w:type="character" w:customStyle="1" w:styleId="SubtitleChar">
    <w:name w:val="Subtitle Char"/>
    <w:basedOn w:val="DefaultParagraphFont"/>
    <w:link w:val="Subtitle"/>
    <w:rsid w:val="00810F69"/>
    <w:rPr>
      <w:rFonts w:ascii="Times New Roman" w:eastAsia="Times New Roman" w:hAnsi="Times New Roman" w:cs="Times New Roman"/>
      <w:sz w:val="28"/>
      <w:szCs w:val="20"/>
      <w:lang w:eastAsia="es-ES"/>
    </w:rPr>
  </w:style>
  <w:style w:type="paragraph" w:customStyle="1" w:styleId="p">
    <w:name w:val="p"/>
    <w:basedOn w:val="Normal"/>
    <w:rsid w:val="00810F69"/>
    <w:pPr>
      <w:spacing w:after="120" w:line="360" w:lineRule="auto"/>
      <w:jc w:val="both"/>
    </w:pPr>
    <w:rPr>
      <w:rFonts w:ascii="Times New Roman" w:eastAsia="Times New Roman" w:hAnsi="Times New Roman"/>
      <w:sz w:val="20"/>
      <w:szCs w:val="20"/>
      <w:lang w:eastAsia="es-ES"/>
    </w:rPr>
  </w:style>
  <w:style w:type="paragraph" w:customStyle="1" w:styleId="aa">
    <w:name w:val="aa"/>
    <w:basedOn w:val="Normal"/>
    <w:rsid w:val="00810F69"/>
    <w:pPr>
      <w:tabs>
        <w:tab w:val="num" w:pos="360"/>
      </w:tabs>
      <w:spacing w:after="0" w:line="240" w:lineRule="auto"/>
      <w:ind w:left="360" w:hanging="360"/>
    </w:pPr>
    <w:rPr>
      <w:rFonts w:ascii="Arial" w:eastAsia="Times New Roman" w:hAnsi="Arial"/>
      <w:szCs w:val="20"/>
      <w:lang w:val="es-ES" w:eastAsia="es-ES"/>
    </w:rPr>
  </w:style>
  <w:style w:type="paragraph" w:styleId="CommentText">
    <w:name w:val="annotation text"/>
    <w:basedOn w:val="Normal"/>
    <w:link w:val="CommentTextChar"/>
    <w:rsid w:val="00810F69"/>
    <w:pPr>
      <w:spacing w:after="0" w:line="240" w:lineRule="auto"/>
    </w:pPr>
    <w:rPr>
      <w:rFonts w:ascii="Times New Roman" w:eastAsia="Times New Roman" w:hAnsi="Times New Roman"/>
      <w:sz w:val="20"/>
      <w:szCs w:val="24"/>
      <w:lang w:val="es-ES" w:eastAsia="es-ES"/>
    </w:rPr>
  </w:style>
  <w:style w:type="character" w:customStyle="1" w:styleId="CommentTextChar">
    <w:name w:val="Comment Text Char"/>
    <w:basedOn w:val="DefaultParagraphFont"/>
    <w:link w:val="CommentText"/>
    <w:rsid w:val="00810F69"/>
    <w:rPr>
      <w:rFonts w:ascii="Times New Roman" w:eastAsia="Times New Roman" w:hAnsi="Times New Roman" w:cs="Times New Roman"/>
      <w:sz w:val="20"/>
      <w:szCs w:val="24"/>
      <w:lang w:val="es-ES" w:eastAsia="es-ES"/>
    </w:rPr>
  </w:style>
  <w:style w:type="character" w:styleId="PageNumber">
    <w:name w:val="page number"/>
    <w:basedOn w:val="DefaultParagraphFont"/>
    <w:rsid w:val="00810F69"/>
  </w:style>
  <w:style w:type="paragraph" w:styleId="BodyText3">
    <w:name w:val="Body Text 3"/>
    <w:basedOn w:val="Normal"/>
    <w:link w:val="BodyText3Char"/>
    <w:rsid w:val="00810F69"/>
    <w:pPr>
      <w:spacing w:before="120" w:after="120" w:line="360" w:lineRule="auto"/>
      <w:jc w:val="both"/>
    </w:pPr>
    <w:rPr>
      <w:rFonts w:ascii="Antique Olive" w:eastAsia="Times New Roman" w:hAnsi="Antique Olive"/>
      <w:sz w:val="20"/>
      <w:szCs w:val="20"/>
      <w:lang w:eastAsia="es-ES"/>
    </w:rPr>
  </w:style>
  <w:style w:type="character" w:customStyle="1" w:styleId="BodyText3Char">
    <w:name w:val="Body Text 3 Char"/>
    <w:basedOn w:val="DefaultParagraphFont"/>
    <w:link w:val="BodyText3"/>
    <w:rsid w:val="00810F69"/>
    <w:rPr>
      <w:rFonts w:ascii="Antique Olive" w:eastAsia="Times New Roman" w:hAnsi="Antique Olive" w:cs="Times New Roman"/>
      <w:sz w:val="20"/>
      <w:szCs w:val="20"/>
      <w:lang w:eastAsia="es-ES"/>
    </w:rPr>
  </w:style>
  <w:style w:type="paragraph" w:styleId="BodyTextIndent2">
    <w:name w:val="Body Text Indent 2"/>
    <w:basedOn w:val="Normal"/>
    <w:link w:val="BodyTextIndent2Char"/>
    <w:rsid w:val="00810F69"/>
    <w:pPr>
      <w:spacing w:after="0" w:line="360" w:lineRule="auto"/>
      <w:ind w:left="426"/>
      <w:jc w:val="both"/>
    </w:pPr>
    <w:rPr>
      <w:rFonts w:ascii="CG Omega" w:eastAsia="Times New Roman" w:hAnsi="CG Omega"/>
      <w:sz w:val="24"/>
      <w:szCs w:val="20"/>
      <w:lang w:val="es-ES" w:eastAsia="es-ES"/>
    </w:rPr>
  </w:style>
  <w:style w:type="character" w:customStyle="1" w:styleId="BodyTextIndent2Char">
    <w:name w:val="Body Text Indent 2 Char"/>
    <w:basedOn w:val="DefaultParagraphFont"/>
    <w:link w:val="BodyTextIndent2"/>
    <w:rsid w:val="00810F69"/>
    <w:rPr>
      <w:rFonts w:ascii="CG Omega" w:eastAsia="Times New Roman" w:hAnsi="CG Omega" w:cs="Times New Roman"/>
      <w:sz w:val="24"/>
      <w:szCs w:val="20"/>
      <w:lang w:val="es-ES" w:eastAsia="es-ES"/>
    </w:rPr>
  </w:style>
  <w:style w:type="paragraph" w:customStyle="1" w:styleId="inciso">
    <w:name w:val="inciso"/>
    <w:basedOn w:val="Normal"/>
    <w:rsid w:val="00810F69"/>
    <w:pPr>
      <w:widowControl w:val="0"/>
      <w:tabs>
        <w:tab w:val="left" w:pos="709"/>
      </w:tabs>
      <w:spacing w:after="360" w:line="240" w:lineRule="auto"/>
      <w:ind w:left="709" w:hanging="709"/>
      <w:jc w:val="both"/>
    </w:pPr>
    <w:rPr>
      <w:rFonts w:ascii="Times New Roman" w:eastAsia="Times New Roman" w:hAnsi="Times New Roman"/>
      <w:snapToGrid w:val="0"/>
      <w:sz w:val="24"/>
      <w:szCs w:val="20"/>
      <w:lang w:val="es-ES_tradnl" w:eastAsia="es-ES"/>
    </w:rPr>
  </w:style>
  <w:style w:type="paragraph" w:customStyle="1" w:styleId="F">
    <w:name w:val="F"/>
    <w:basedOn w:val="Normal"/>
    <w:rsid w:val="00810F69"/>
    <w:pPr>
      <w:tabs>
        <w:tab w:val="center" w:pos="1980"/>
        <w:tab w:val="center" w:pos="7020"/>
      </w:tabs>
      <w:spacing w:before="720" w:after="0" w:line="240" w:lineRule="auto"/>
      <w:ind w:left="-902"/>
      <w:jc w:val="both"/>
    </w:pPr>
    <w:rPr>
      <w:rFonts w:ascii="Times New Roman" w:eastAsia="Times New Roman" w:hAnsi="Times New Roman"/>
      <w:b/>
      <w:bCs/>
      <w:szCs w:val="24"/>
      <w:lang w:val="es-ES" w:eastAsia="es-ES"/>
    </w:rPr>
  </w:style>
  <w:style w:type="paragraph" w:customStyle="1" w:styleId="FF">
    <w:name w:val="FF"/>
    <w:basedOn w:val="Normal"/>
    <w:rsid w:val="00810F69"/>
    <w:pPr>
      <w:tabs>
        <w:tab w:val="center" w:pos="1980"/>
        <w:tab w:val="center" w:pos="7020"/>
      </w:tabs>
      <w:spacing w:after="120" w:line="240" w:lineRule="auto"/>
      <w:ind w:left="-902"/>
    </w:pPr>
    <w:rPr>
      <w:rFonts w:ascii="Times New Roman" w:eastAsia="Times New Roman" w:hAnsi="Times New Roman"/>
      <w:szCs w:val="24"/>
      <w:lang w:val="es-ES" w:eastAsia="es-ES"/>
    </w:rPr>
  </w:style>
  <w:style w:type="paragraph" w:customStyle="1" w:styleId="t">
    <w:name w:val="t"/>
    <w:basedOn w:val="Subtitle"/>
    <w:rsid w:val="00810F69"/>
    <w:pPr>
      <w:spacing w:after="240" w:line="360" w:lineRule="auto"/>
    </w:pPr>
    <w:rPr>
      <w:b/>
      <w:sz w:val="24"/>
      <w:lang w:val="es-ES_tradnl"/>
    </w:rPr>
  </w:style>
  <w:style w:type="paragraph" w:customStyle="1" w:styleId="sn">
    <w:name w:val="sn"/>
    <w:basedOn w:val="Subtitle"/>
    <w:rsid w:val="00810F69"/>
    <w:pPr>
      <w:spacing w:after="120" w:line="360" w:lineRule="auto"/>
      <w:jc w:val="both"/>
    </w:pPr>
    <w:rPr>
      <w:b/>
      <w:sz w:val="20"/>
      <w:lang w:val="es-ES_tradnl"/>
    </w:rPr>
  </w:style>
  <w:style w:type="paragraph" w:customStyle="1" w:styleId="n0">
    <w:name w:val="n"/>
    <w:basedOn w:val="Heading1"/>
    <w:rsid w:val="00810F69"/>
    <w:pPr>
      <w:tabs>
        <w:tab w:val="left" w:pos="4320"/>
        <w:tab w:val="right" w:pos="9360"/>
      </w:tabs>
    </w:pPr>
    <w:rPr>
      <w:rFonts w:eastAsia="Times New Roman"/>
      <w:sz w:val="20"/>
      <w:szCs w:val="20"/>
    </w:rPr>
  </w:style>
  <w:style w:type="paragraph" w:customStyle="1" w:styleId="xl26">
    <w:name w:val="xl26"/>
    <w:basedOn w:val="Normal"/>
    <w:rsid w:val="00810F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es-ES" w:eastAsia="es-ES"/>
    </w:rPr>
  </w:style>
  <w:style w:type="paragraph" w:customStyle="1" w:styleId="xl27">
    <w:name w:val="xl27"/>
    <w:basedOn w:val="Normal"/>
    <w:rsid w:val="00810F69"/>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b/>
      <w:bCs/>
      <w:sz w:val="16"/>
      <w:szCs w:val="16"/>
      <w:lang w:val="es-ES" w:eastAsia="es-ES"/>
    </w:rPr>
  </w:style>
  <w:style w:type="paragraph" w:customStyle="1" w:styleId="xl28">
    <w:name w:val="xl2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16"/>
      <w:szCs w:val="16"/>
      <w:lang w:val="es-ES" w:eastAsia="es-ES"/>
    </w:rPr>
  </w:style>
  <w:style w:type="paragraph" w:customStyle="1" w:styleId="xl30">
    <w:name w:val="xl30"/>
    <w:basedOn w:val="Normal"/>
    <w:rsid w:val="00810F69"/>
    <w:pPr>
      <w:pBdr>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Arial Unicode MS" w:hAnsi="Times New Roman"/>
      <w:b/>
      <w:bCs/>
      <w:sz w:val="16"/>
      <w:szCs w:val="16"/>
      <w:lang w:val="es-ES" w:eastAsia="es-ES"/>
    </w:rPr>
  </w:style>
  <w:style w:type="paragraph" w:customStyle="1" w:styleId="xl31">
    <w:name w:val="xl31"/>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16"/>
      <w:szCs w:val="16"/>
      <w:lang w:val="es-ES" w:eastAsia="es-ES"/>
    </w:rPr>
  </w:style>
  <w:style w:type="paragraph" w:customStyle="1" w:styleId="PARRAFO0">
    <w:name w:val="PARRAFO"/>
    <w:basedOn w:val="Normal"/>
    <w:rsid w:val="00810F69"/>
    <w:pPr>
      <w:widowControl w:val="0"/>
      <w:spacing w:after="240" w:line="240" w:lineRule="auto"/>
      <w:jc w:val="both"/>
    </w:pPr>
    <w:rPr>
      <w:rFonts w:ascii="Times New Roman" w:eastAsia="Times New Roman" w:hAnsi="Times New Roman"/>
      <w:snapToGrid w:val="0"/>
      <w:sz w:val="20"/>
      <w:szCs w:val="20"/>
      <w:lang w:val="es-ES_tradnl" w:eastAsia="es-ES"/>
    </w:rPr>
  </w:style>
  <w:style w:type="paragraph" w:styleId="List2">
    <w:name w:val="List 2"/>
    <w:basedOn w:val="Normal"/>
    <w:uiPriority w:val="99"/>
    <w:unhideWhenUsed/>
    <w:rsid w:val="00810F69"/>
    <w:pPr>
      <w:ind w:left="566" w:hanging="283"/>
      <w:contextualSpacing/>
    </w:pPr>
    <w:rPr>
      <w:rFonts w:asciiTheme="minorHAnsi" w:eastAsiaTheme="minorEastAsia" w:hAnsiTheme="minorHAnsi" w:cstheme="minorBidi"/>
      <w:lang w:eastAsia="es-MX"/>
    </w:rPr>
  </w:style>
  <w:style w:type="paragraph" w:customStyle="1" w:styleId="Estilo">
    <w:name w:val="Estilo"/>
    <w:link w:val="EstiloCar"/>
    <w:qFormat/>
    <w:rsid w:val="00810F6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uiPriority w:val="99"/>
    <w:unhideWhenUsed/>
    <w:rsid w:val="00810F69"/>
    <w:pPr>
      <w:spacing w:after="0" w:line="240" w:lineRule="auto"/>
    </w:pPr>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rsid w:val="00810F69"/>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810F69"/>
    <w:rPr>
      <w:vertAlign w:val="superscript"/>
    </w:rPr>
  </w:style>
  <w:style w:type="numbering" w:customStyle="1" w:styleId="Estilo1">
    <w:name w:val="Estilo1"/>
    <w:uiPriority w:val="99"/>
    <w:rsid w:val="00810F69"/>
    <w:pPr>
      <w:numPr>
        <w:numId w:val="1"/>
      </w:numPr>
    </w:pPr>
  </w:style>
  <w:style w:type="numbering" w:customStyle="1" w:styleId="Estilo2">
    <w:name w:val="Estilo2"/>
    <w:uiPriority w:val="99"/>
    <w:rsid w:val="00810F69"/>
    <w:pPr>
      <w:numPr>
        <w:numId w:val="2"/>
      </w:numPr>
    </w:pPr>
  </w:style>
  <w:style w:type="numbering" w:customStyle="1" w:styleId="Estilo3">
    <w:name w:val="Estilo3"/>
    <w:uiPriority w:val="99"/>
    <w:rsid w:val="00810F69"/>
  </w:style>
  <w:style w:type="table" w:styleId="TableGrid">
    <w:name w:val="Table Grid"/>
    <w:basedOn w:val="TableNormal"/>
    <w:rsid w:val="00810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0F69"/>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rPr>
  </w:style>
  <w:style w:type="paragraph" w:customStyle="1" w:styleId="Text">
    <w:name w:val="Text"/>
    <w:basedOn w:val="Standard"/>
    <w:rsid w:val="00810F69"/>
    <w:pPr>
      <w:spacing w:after="101" w:line="216" w:lineRule="exact"/>
      <w:ind w:firstLine="288"/>
      <w:jc w:val="both"/>
    </w:pPr>
    <w:rPr>
      <w:rFonts w:ascii="Arial" w:hAnsi="Arial" w:cs="Arial"/>
      <w:sz w:val="18"/>
    </w:rPr>
  </w:style>
  <w:style w:type="paragraph" w:customStyle="1" w:styleId="Texto">
    <w:name w:val="Texto"/>
    <w:basedOn w:val="Normal"/>
    <w:link w:val="TextoCar"/>
    <w:qFormat/>
    <w:rsid w:val="00810F6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DefaultParagraphFont"/>
    <w:link w:val="Texto"/>
    <w:locked/>
    <w:rsid w:val="00810F69"/>
    <w:rPr>
      <w:rFonts w:ascii="Arial" w:eastAsia="Times New Roman" w:hAnsi="Arial" w:cs="Arial"/>
      <w:sz w:val="18"/>
      <w:szCs w:val="20"/>
      <w:lang w:val="es-ES" w:eastAsia="es-ES"/>
    </w:rPr>
  </w:style>
  <w:style w:type="paragraph" w:customStyle="1" w:styleId="Default">
    <w:name w:val="Default"/>
    <w:rsid w:val="00810F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0F69"/>
    <w:rPr>
      <w:color w:val="0000FF"/>
      <w:u w:val="single"/>
    </w:rPr>
  </w:style>
  <w:style w:type="character" w:styleId="FollowedHyperlink">
    <w:name w:val="FollowedHyperlink"/>
    <w:basedOn w:val="DefaultParagraphFont"/>
    <w:uiPriority w:val="99"/>
    <w:unhideWhenUsed/>
    <w:rsid w:val="00810F69"/>
    <w:rPr>
      <w:color w:val="800080"/>
      <w:u w:val="single"/>
    </w:rPr>
  </w:style>
  <w:style w:type="paragraph" w:customStyle="1" w:styleId="xl63">
    <w:name w:val="xl63"/>
    <w:basedOn w:val="Normal"/>
    <w:rsid w:val="00810F69"/>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4">
    <w:name w:val="xl64"/>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5">
    <w:name w:val="xl6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6">
    <w:name w:val="xl6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7">
    <w:name w:val="xl67"/>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8">
    <w:name w:val="xl68"/>
    <w:basedOn w:val="Normal"/>
    <w:rsid w:val="00810F69"/>
    <w:pP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69">
    <w:name w:val="xl69"/>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0">
    <w:name w:val="xl70"/>
    <w:basedOn w:val="Normal"/>
    <w:rsid w:val="00810F69"/>
    <w:pPr>
      <w:spacing w:before="100" w:beforeAutospacing="1" w:after="100" w:afterAutospacing="1" w:line="240" w:lineRule="auto"/>
      <w:textAlignment w:val="center"/>
    </w:pPr>
    <w:rPr>
      <w:rFonts w:ascii="Times New Roman" w:eastAsia="Times New Roman" w:hAnsi="Times New Roman"/>
      <w:color w:val="538ED5"/>
      <w:sz w:val="16"/>
      <w:szCs w:val="16"/>
      <w:lang w:eastAsia="es-MX"/>
    </w:rPr>
  </w:style>
  <w:style w:type="paragraph" w:customStyle="1" w:styleId="xl71">
    <w:name w:val="xl71"/>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2">
    <w:name w:val="xl72"/>
    <w:basedOn w:val="Normal"/>
    <w:rsid w:val="00810F69"/>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3">
    <w:name w:val="xl73"/>
    <w:basedOn w:val="Normal"/>
    <w:rsid w:val="00810F69"/>
    <w:pPr>
      <w:spacing w:before="100" w:beforeAutospacing="1" w:after="100" w:afterAutospacing="1" w:line="240" w:lineRule="auto"/>
      <w:jc w:val="right"/>
    </w:pPr>
    <w:rPr>
      <w:rFonts w:ascii="Times New Roman" w:eastAsia="Times New Roman" w:hAnsi="Times New Roman"/>
      <w:sz w:val="16"/>
      <w:szCs w:val="16"/>
      <w:lang w:eastAsia="es-MX"/>
    </w:rPr>
  </w:style>
  <w:style w:type="paragraph" w:customStyle="1" w:styleId="xl74">
    <w:name w:val="xl74"/>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5">
    <w:name w:val="xl7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6">
    <w:name w:val="xl7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7">
    <w:name w:val="xl7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8">
    <w:name w:val="xl7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9">
    <w:name w:val="xl7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0">
    <w:name w:val="xl8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1">
    <w:name w:val="xl8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2">
    <w:name w:val="xl8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83">
    <w:name w:val="xl8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4">
    <w:name w:val="xl8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5">
    <w:name w:val="xl8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6">
    <w:name w:val="xl8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87">
    <w:name w:val="xl8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B050"/>
      <w:sz w:val="16"/>
      <w:szCs w:val="16"/>
      <w:lang w:eastAsia="es-MX"/>
    </w:rPr>
  </w:style>
  <w:style w:type="paragraph" w:customStyle="1" w:styleId="xl88">
    <w:name w:val="xl8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9">
    <w:name w:val="xl89"/>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0">
    <w:name w:val="xl90"/>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1">
    <w:name w:val="xl91"/>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92">
    <w:name w:val="xl92"/>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3">
    <w:name w:val="xl93"/>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color w:val="000000"/>
      <w:sz w:val="16"/>
      <w:szCs w:val="16"/>
      <w:lang w:eastAsia="es-MX"/>
    </w:rPr>
  </w:style>
  <w:style w:type="paragraph" w:customStyle="1" w:styleId="xl94">
    <w:name w:val="xl9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5">
    <w:name w:val="xl9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6">
    <w:name w:val="xl9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7">
    <w:name w:val="xl9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es-MX"/>
    </w:rPr>
  </w:style>
  <w:style w:type="paragraph" w:customStyle="1" w:styleId="font5">
    <w:name w:val="font5"/>
    <w:basedOn w:val="Normal"/>
    <w:rsid w:val="00810F69"/>
    <w:pPr>
      <w:spacing w:before="100" w:beforeAutospacing="1" w:after="100" w:afterAutospacing="1" w:line="240" w:lineRule="auto"/>
    </w:pPr>
    <w:rPr>
      <w:rFonts w:ascii="Times New Roman" w:eastAsia="Times New Roman" w:hAnsi="Times New Roman"/>
      <w:b/>
      <w:bCs/>
      <w:color w:val="000000"/>
      <w:sz w:val="14"/>
      <w:szCs w:val="14"/>
      <w:lang w:eastAsia="es-MX"/>
    </w:rPr>
  </w:style>
  <w:style w:type="paragraph" w:customStyle="1" w:styleId="font6">
    <w:name w:val="font6"/>
    <w:basedOn w:val="Normal"/>
    <w:rsid w:val="00810F69"/>
    <w:pPr>
      <w:spacing w:before="100" w:beforeAutospacing="1" w:after="100" w:afterAutospacing="1" w:line="240" w:lineRule="auto"/>
    </w:pPr>
    <w:rPr>
      <w:rFonts w:eastAsia="Times New Roman" w:cs="Calibri"/>
      <w:sz w:val="18"/>
      <w:szCs w:val="18"/>
      <w:lang w:eastAsia="es-MX"/>
    </w:rPr>
  </w:style>
  <w:style w:type="paragraph" w:customStyle="1" w:styleId="font7">
    <w:name w:val="font7"/>
    <w:basedOn w:val="Normal"/>
    <w:rsid w:val="00810F69"/>
    <w:pPr>
      <w:spacing w:before="100" w:beforeAutospacing="1" w:after="100" w:afterAutospacing="1" w:line="240" w:lineRule="auto"/>
    </w:pPr>
    <w:rPr>
      <w:rFonts w:eastAsia="Times New Roman" w:cs="Calibri"/>
      <w:i/>
      <w:iCs/>
      <w:sz w:val="18"/>
      <w:szCs w:val="18"/>
      <w:lang w:eastAsia="es-MX"/>
    </w:rPr>
  </w:style>
  <w:style w:type="paragraph" w:customStyle="1" w:styleId="xl98">
    <w:name w:val="xl9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99">
    <w:name w:val="xl9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100">
    <w:name w:val="xl10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101">
    <w:name w:val="xl10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102">
    <w:name w:val="xl102"/>
    <w:basedOn w:val="Normal"/>
    <w:rsid w:val="00810F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03">
    <w:name w:val="xl10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04">
    <w:name w:val="xl104"/>
    <w:basedOn w:val="Normal"/>
    <w:rsid w:val="00810F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105">
    <w:name w:val="xl105"/>
    <w:basedOn w:val="Normal"/>
    <w:rsid w:val="00810F69"/>
    <w:pPr>
      <w:spacing w:before="100" w:beforeAutospacing="1" w:after="100" w:afterAutospacing="1" w:line="240" w:lineRule="auto"/>
      <w:textAlignment w:val="center"/>
    </w:pPr>
    <w:rPr>
      <w:rFonts w:ascii="Times New Roman" w:eastAsia="Times New Roman" w:hAnsi="Times New Roman"/>
      <w:b/>
      <w:bCs/>
      <w:sz w:val="24"/>
      <w:szCs w:val="24"/>
      <w:lang w:eastAsia="es-MX"/>
    </w:rPr>
  </w:style>
  <w:style w:type="paragraph" w:customStyle="1" w:styleId="xl106">
    <w:name w:val="xl106"/>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7">
    <w:name w:val="xl107"/>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8">
    <w:name w:val="xl108"/>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9">
    <w:name w:val="xl10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b/>
      <w:bCs/>
      <w:sz w:val="20"/>
      <w:szCs w:val="20"/>
      <w:lang w:eastAsia="es-MX"/>
    </w:rPr>
  </w:style>
  <w:style w:type="paragraph" w:customStyle="1" w:styleId="xl110">
    <w:name w:val="xl110"/>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1">
    <w:name w:val="xl111"/>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2">
    <w:name w:val="xl11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13">
    <w:name w:val="xl11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14">
    <w:name w:val="xl114"/>
    <w:basedOn w:val="Normal"/>
    <w:rsid w:val="00810F69"/>
    <w:pPr>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15">
    <w:name w:val="xl11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4"/>
      <w:szCs w:val="14"/>
      <w:lang w:val="es-ES" w:eastAsia="es-ES"/>
    </w:rPr>
  </w:style>
  <w:style w:type="paragraph" w:customStyle="1" w:styleId="xl116">
    <w:name w:val="xl11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14"/>
      <w:szCs w:val="14"/>
      <w:lang w:val="es-ES" w:eastAsia="es-ES"/>
    </w:rPr>
  </w:style>
  <w:style w:type="paragraph" w:customStyle="1" w:styleId="xl117">
    <w:name w:val="xl11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18">
    <w:name w:val="xl11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19">
    <w:name w:val="xl11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20">
    <w:name w:val="xl120"/>
    <w:basedOn w:val="Normal"/>
    <w:rsid w:val="0081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1">
    <w:name w:val="xl12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2">
    <w:name w:val="xl12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3">
    <w:name w:val="xl12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14"/>
      <w:szCs w:val="14"/>
      <w:lang w:val="es-ES" w:eastAsia="es-ES"/>
    </w:rPr>
  </w:style>
  <w:style w:type="paragraph" w:customStyle="1" w:styleId="xl124">
    <w:name w:val="xl124"/>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25">
    <w:name w:val="xl12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6">
    <w:name w:val="xl126"/>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7">
    <w:name w:val="xl12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8">
    <w:name w:val="xl12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9">
    <w:name w:val="xl12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character" w:styleId="CommentReference">
    <w:name w:val="annotation reference"/>
    <w:basedOn w:val="DefaultParagraphFont"/>
    <w:uiPriority w:val="99"/>
    <w:unhideWhenUsed/>
    <w:rsid w:val="00810F69"/>
    <w:rPr>
      <w:sz w:val="16"/>
      <w:szCs w:val="16"/>
    </w:rPr>
  </w:style>
  <w:style w:type="paragraph" w:styleId="ListBullet2">
    <w:name w:val="List Bullet 2"/>
    <w:basedOn w:val="Normal"/>
    <w:autoRedefine/>
    <w:uiPriority w:val="99"/>
    <w:semiHidden/>
    <w:rsid w:val="00810F69"/>
    <w:pPr>
      <w:tabs>
        <w:tab w:val="num" w:pos="643"/>
      </w:tabs>
      <w:spacing w:after="0" w:line="240" w:lineRule="auto"/>
      <w:ind w:left="643" w:hanging="360"/>
    </w:pPr>
    <w:rPr>
      <w:rFonts w:ascii="Times New Roman" w:eastAsia="Times New Roman" w:hAnsi="Times New Roman"/>
      <w:sz w:val="20"/>
      <w:szCs w:val="20"/>
      <w:lang w:val="es-ES_tradnl" w:eastAsia="es-ES"/>
    </w:rPr>
  </w:style>
  <w:style w:type="paragraph" w:customStyle="1" w:styleId="NoSpacing2">
    <w:name w:val="No Spacing2"/>
    <w:qFormat/>
    <w:rsid w:val="00810F69"/>
    <w:pPr>
      <w:spacing w:after="0" w:line="240" w:lineRule="auto"/>
    </w:pPr>
    <w:rPr>
      <w:rFonts w:ascii="Calibri" w:eastAsia="Calibri" w:hAnsi="Calibri" w:cs="Times New Roman"/>
    </w:rPr>
  </w:style>
  <w:style w:type="paragraph" w:customStyle="1" w:styleId="Ttulo11">
    <w:name w:val="Título 11"/>
    <w:basedOn w:val="Normal"/>
    <w:uiPriority w:val="1"/>
    <w:qFormat/>
    <w:rsid w:val="00810F69"/>
    <w:pPr>
      <w:widowControl w:val="0"/>
      <w:spacing w:after="0" w:line="240" w:lineRule="auto"/>
      <w:ind w:left="3075"/>
      <w:outlineLvl w:val="1"/>
    </w:pPr>
    <w:rPr>
      <w:rFonts w:ascii="Times New Roman" w:eastAsia="Times New Roman" w:hAnsi="Times New Roman" w:cstheme="minorBidi"/>
      <w:b/>
      <w:bCs/>
      <w:sz w:val="31"/>
      <w:szCs w:val="31"/>
      <w:lang w:val="en-US"/>
    </w:rPr>
  </w:style>
  <w:style w:type="numbering" w:customStyle="1" w:styleId="Sinlista1">
    <w:name w:val="Sin lista1"/>
    <w:next w:val="NoList"/>
    <w:uiPriority w:val="99"/>
    <w:semiHidden/>
    <w:unhideWhenUsed/>
    <w:rsid w:val="00810F69"/>
  </w:style>
  <w:style w:type="table" w:customStyle="1" w:styleId="Tablaconcuadrcula1">
    <w:name w:val="Tabla con cuadrícula1"/>
    <w:basedOn w:val="TableNormal"/>
    <w:next w:val="TableGrid"/>
    <w:uiPriority w:val="59"/>
    <w:locked/>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NoList"/>
    <w:uiPriority w:val="99"/>
    <w:semiHidden/>
    <w:unhideWhenUsed/>
    <w:rsid w:val="00810F69"/>
  </w:style>
  <w:style w:type="numbering" w:customStyle="1" w:styleId="Estilo11">
    <w:name w:val="Estilo11"/>
    <w:uiPriority w:val="99"/>
    <w:rsid w:val="00810F69"/>
    <w:pPr>
      <w:numPr>
        <w:numId w:val="3"/>
      </w:numPr>
    </w:pPr>
  </w:style>
  <w:style w:type="numbering" w:customStyle="1" w:styleId="Estilo21">
    <w:name w:val="Estilo21"/>
    <w:uiPriority w:val="99"/>
    <w:rsid w:val="00810F69"/>
    <w:pPr>
      <w:numPr>
        <w:numId w:val="4"/>
      </w:numPr>
    </w:pPr>
  </w:style>
  <w:style w:type="numbering" w:customStyle="1" w:styleId="Estilo31">
    <w:name w:val="Estilo31"/>
    <w:uiPriority w:val="99"/>
    <w:rsid w:val="00810F69"/>
    <w:pPr>
      <w:numPr>
        <w:numId w:val="5"/>
      </w:numPr>
    </w:pPr>
  </w:style>
  <w:style w:type="table" w:customStyle="1" w:styleId="Tablaconcuadrcula2">
    <w:name w:val="Tabla con cuadrícula2"/>
    <w:basedOn w:val="TableNormal"/>
    <w:next w:val="TableGrid"/>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NoList"/>
    <w:uiPriority w:val="99"/>
    <w:semiHidden/>
    <w:unhideWhenUsed/>
    <w:rsid w:val="00810F69"/>
  </w:style>
  <w:style w:type="character" w:customStyle="1" w:styleId="l6">
    <w:name w:val="l6"/>
    <w:basedOn w:val="DefaultParagraphFont"/>
    <w:rsid w:val="00810F69"/>
  </w:style>
  <w:style w:type="character" w:customStyle="1" w:styleId="apple-converted-space">
    <w:name w:val="apple-converted-space"/>
    <w:basedOn w:val="DefaultParagraphFont"/>
    <w:rsid w:val="00810F69"/>
  </w:style>
  <w:style w:type="paragraph" w:customStyle="1" w:styleId="T0">
    <w:name w:val="T"/>
    <w:basedOn w:val="Normal"/>
    <w:rsid w:val="00810F6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20"/>
      <w:lang w:val="es-ES" w:eastAsia="es-ES"/>
    </w:rPr>
  </w:style>
  <w:style w:type="character" w:styleId="Emphasis">
    <w:name w:val="Emphasis"/>
    <w:uiPriority w:val="20"/>
    <w:qFormat/>
    <w:rsid w:val="00810F69"/>
    <w:rPr>
      <w:i/>
    </w:rPr>
  </w:style>
  <w:style w:type="table" w:customStyle="1" w:styleId="Tablaconcuadrcula3">
    <w:name w:val="Tabla con cuadrícula3"/>
    <w:basedOn w:val="TableNormal"/>
    <w:next w:val="TableGrid"/>
    <w:uiPriority w:val="59"/>
    <w:rsid w:val="00810F69"/>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10F69"/>
  </w:style>
  <w:style w:type="numbering" w:customStyle="1" w:styleId="Estilo4">
    <w:name w:val="Estilo4"/>
    <w:uiPriority w:val="99"/>
    <w:rsid w:val="00810F69"/>
    <w:pPr>
      <w:numPr>
        <w:numId w:val="6"/>
      </w:numPr>
    </w:pPr>
  </w:style>
  <w:style w:type="numbering" w:customStyle="1" w:styleId="Estilo14">
    <w:name w:val="Estilo14"/>
    <w:uiPriority w:val="99"/>
    <w:rsid w:val="00810F69"/>
    <w:pPr>
      <w:numPr>
        <w:numId w:val="7"/>
      </w:numPr>
    </w:pPr>
  </w:style>
  <w:style w:type="numbering" w:customStyle="1" w:styleId="Style1">
    <w:name w:val="Style1"/>
    <w:uiPriority w:val="99"/>
    <w:rsid w:val="00810F69"/>
    <w:pPr>
      <w:numPr>
        <w:numId w:val="8"/>
      </w:numPr>
    </w:pPr>
  </w:style>
  <w:style w:type="character" w:customStyle="1" w:styleId="CharAttribute0">
    <w:name w:val="CharAttribute0"/>
    <w:rsid w:val="00810F69"/>
    <w:rPr>
      <w:rFonts w:ascii="Arial" w:eastAsia="Times New Roman"/>
      <w:sz w:val="24"/>
    </w:rPr>
  </w:style>
  <w:style w:type="paragraph" w:customStyle="1" w:styleId="unico">
    <w:name w:val="unico"/>
    <w:basedOn w:val="Normal"/>
    <w:uiPriority w:val="99"/>
    <w:rsid w:val="00810F69"/>
    <w:pPr>
      <w:widowControl w:val="0"/>
      <w:tabs>
        <w:tab w:val="left" w:pos="368"/>
        <w:tab w:val="right" w:leader="dot" w:pos="6038"/>
      </w:tabs>
      <w:spacing w:after="0" w:line="240" w:lineRule="auto"/>
      <w:ind w:left="368"/>
      <w:jc w:val="both"/>
    </w:pPr>
    <w:rPr>
      <w:rFonts w:ascii="Times New Roman" w:eastAsia="Times New Roman" w:hAnsi="Times New Roman"/>
      <w:color w:val="000000"/>
      <w:sz w:val="18"/>
      <w:szCs w:val="18"/>
      <w:lang w:val="es-ES" w:eastAsia="es-ES"/>
    </w:rPr>
  </w:style>
  <w:style w:type="paragraph" w:customStyle="1" w:styleId="Instruccionesenvocorreo">
    <w:name w:val="Instrucciones envío correo"/>
    <w:basedOn w:val="Normal"/>
    <w:uiPriority w:val="99"/>
    <w:rsid w:val="00810F69"/>
    <w:pPr>
      <w:spacing w:after="0" w:line="240" w:lineRule="auto"/>
    </w:pPr>
    <w:rPr>
      <w:rFonts w:ascii="Times New Roman" w:eastAsia="Times New Roman" w:hAnsi="Times New Roman"/>
      <w:sz w:val="20"/>
      <w:szCs w:val="20"/>
      <w:lang w:val="es-ES" w:eastAsia="es-ES"/>
    </w:rPr>
  </w:style>
  <w:style w:type="paragraph" w:styleId="BodyTextIndent3">
    <w:name w:val="Body Text Indent 3"/>
    <w:basedOn w:val="Normal"/>
    <w:link w:val="BodyTextIndent3Char"/>
    <w:uiPriority w:val="99"/>
    <w:rsid w:val="00810F69"/>
    <w:pPr>
      <w:spacing w:after="120" w:line="240" w:lineRule="auto"/>
      <w:ind w:left="283"/>
    </w:pPr>
    <w:rPr>
      <w:rFonts w:ascii="Times New Roman" w:eastAsia="Times New Roman" w:hAnsi="Times New Roman"/>
      <w:sz w:val="16"/>
      <w:szCs w:val="16"/>
      <w:lang w:val="es-ES" w:eastAsia="es-ES"/>
    </w:rPr>
  </w:style>
  <w:style w:type="character" w:customStyle="1" w:styleId="BodyTextIndent3Char">
    <w:name w:val="Body Text Indent 3 Char"/>
    <w:basedOn w:val="DefaultParagraphFont"/>
    <w:link w:val="BodyTextIndent3"/>
    <w:uiPriority w:val="99"/>
    <w:rsid w:val="00810F69"/>
    <w:rPr>
      <w:rFonts w:ascii="Times New Roman" w:eastAsia="Times New Roman" w:hAnsi="Times New Roman" w:cs="Times New Roman"/>
      <w:sz w:val="16"/>
      <w:szCs w:val="16"/>
      <w:lang w:val="es-ES" w:eastAsia="es-ES"/>
    </w:rPr>
  </w:style>
  <w:style w:type="paragraph" w:customStyle="1" w:styleId="Prrafodelista1">
    <w:name w:val="Párrafo de lista1"/>
    <w:basedOn w:val="Normal"/>
    <w:uiPriority w:val="99"/>
    <w:rsid w:val="00810F69"/>
    <w:pPr>
      <w:ind w:left="720"/>
    </w:pPr>
    <w:rPr>
      <w:rFonts w:eastAsia="Times New Roman" w:cs="Calibri"/>
      <w:lang w:val="es-ES"/>
    </w:rPr>
  </w:style>
  <w:style w:type="paragraph" w:styleId="TOCHeading">
    <w:name w:val="TOC Heading"/>
    <w:basedOn w:val="Heading1"/>
    <w:next w:val="Normal"/>
    <w:uiPriority w:val="99"/>
    <w:qFormat/>
    <w:rsid w:val="00810F69"/>
    <w:pPr>
      <w:keepLines/>
      <w:spacing w:before="480" w:line="276" w:lineRule="auto"/>
      <w:outlineLvl w:val="9"/>
    </w:pPr>
    <w:rPr>
      <w:rFonts w:ascii="Cambria" w:eastAsia="Times New Roman" w:hAnsi="Cambria" w:cs="Cambria"/>
      <w:sz w:val="28"/>
      <w:szCs w:val="28"/>
      <w:lang w:val="en-US" w:eastAsia="en-US"/>
    </w:rPr>
  </w:style>
  <w:style w:type="paragraph" w:styleId="TOC1">
    <w:name w:val="toc 1"/>
    <w:basedOn w:val="Normal"/>
    <w:next w:val="Normal"/>
    <w:autoRedefine/>
    <w:uiPriority w:val="99"/>
    <w:rsid w:val="00810F69"/>
    <w:pPr>
      <w:spacing w:after="0" w:line="240" w:lineRule="auto"/>
    </w:pPr>
    <w:rPr>
      <w:rFonts w:ascii="Times New Roman" w:eastAsia="Times New Roman" w:hAnsi="Times New Roman"/>
      <w:sz w:val="24"/>
      <w:szCs w:val="24"/>
      <w:lang w:val="es-ES" w:eastAsia="es-ES"/>
    </w:rPr>
  </w:style>
  <w:style w:type="paragraph" w:styleId="TOC2">
    <w:name w:val="toc 2"/>
    <w:basedOn w:val="Normal"/>
    <w:next w:val="Normal"/>
    <w:autoRedefine/>
    <w:uiPriority w:val="99"/>
    <w:rsid w:val="00810F69"/>
    <w:pPr>
      <w:spacing w:after="0" w:line="240" w:lineRule="auto"/>
      <w:ind w:left="240"/>
    </w:pPr>
    <w:rPr>
      <w:rFonts w:ascii="Times New Roman" w:eastAsia="Times New Roman" w:hAnsi="Times New Roman"/>
      <w:sz w:val="24"/>
      <w:szCs w:val="24"/>
      <w:lang w:val="es-ES" w:eastAsia="es-ES"/>
    </w:rPr>
  </w:style>
  <w:style w:type="paragraph" w:styleId="CommentSubject">
    <w:name w:val="annotation subject"/>
    <w:basedOn w:val="CommentText"/>
    <w:next w:val="CommentText"/>
    <w:link w:val="CommentSubjectChar"/>
    <w:unhideWhenUsed/>
    <w:rsid w:val="00810F69"/>
    <w:rPr>
      <w:b/>
      <w:bCs/>
      <w:szCs w:val="20"/>
    </w:rPr>
  </w:style>
  <w:style w:type="character" w:customStyle="1" w:styleId="CommentSubjectChar">
    <w:name w:val="Comment Subject Char"/>
    <w:basedOn w:val="CommentTextChar"/>
    <w:link w:val="CommentSubject"/>
    <w:rsid w:val="00810F69"/>
    <w:rPr>
      <w:rFonts w:ascii="Times New Roman" w:eastAsia="Times New Roman" w:hAnsi="Times New Roman" w:cs="Times New Roman"/>
      <w:b/>
      <w:bCs/>
      <w:sz w:val="20"/>
      <w:szCs w:val="20"/>
      <w:lang w:val="es-ES" w:eastAsia="es-ES"/>
    </w:rPr>
  </w:style>
  <w:style w:type="paragraph" w:customStyle="1" w:styleId="ParaAttribute1">
    <w:name w:val="ParaAttribute1"/>
    <w:rsid w:val="00810F69"/>
    <w:pPr>
      <w:spacing w:after="0" w:line="240" w:lineRule="auto"/>
      <w:ind w:right="-1"/>
      <w:jc w:val="both"/>
    </w:pPr>
    <w:rPr>
      <w:rFonts w:ascii="Times New Roman" w:eastAsia="¹Å" w:hAnsi="Times New Roman" w:cs="Times New Roman"/>
      <w:sz w:val="20"/>
      <w:szCs w:val="20"/>
      <w:lang w:eastAsia="es-MX"/>
    </w:rPr>
  </w:style>
  <w:style w:type="character" w:customStyle="1" w:styleId="CharAttribute6">
    <w:name w:val="CharAttribute6"/>
    <w:rsid w:val="00810F69"/>
    <w:rPr>
      <w:rFonts w:ascii="Arial" w:eastAsia="Times New Roman"/>
      <w:sz w:val="24"/>
    </w:rPr>
  </w:style>
  <w:style w:type="character" w:customStyle="1" w:styleId="CharAttribute3">
    <w:name w:val="CharAttribute3"/>
    <w:rsid w:val="00810F69"/>
    <w:rPr>
      <w:rFonts w:ascii="Arial" w:eastAsia="Times New Roman"/>
      <w:sz w:val="24"/>
    </w:rPr>
  </w:style>
  <w:style w:type="paragraph" w:styleId="Revision">
    <w:name w:val="Revision"/>
    <w:hidden/>
    <w:uiPriority w:val="99"/>
    <w:semiHidden/>
    <w:rsid w:val="00810F69"/>
    <w:pPr>
      <w:spacing w:after="0" w:line="240" w:lineRule="auto"/>
    </w:pPr>
    <w:rPr>
      <w:rFonts w:ascii="Times New Roman" w:eastAsia="Times New Roman" w:hAnsi="Times New Roman" w:cs="Times New Roman"/>
      <w:sz w:val="24"/>
      <w:szCs w:val="24"/>
      <w:lang w:val="es-ES" w:eastAsia="es-ES"/>
    </w:rPr>
  </w:style>
  <w:style w:type="numbering" w:customStyle="1" w:styleId="Sinlista4">
    <w:name w:val="Sin lista4"/>
    <w:next w:val="NoList"/>
    <w:uiPriority w:val="99"/>
    <w:semiHidden/>
    <w:unhideWhenUsed/>
    <w:rsid w:val="00810F69"/>
  </w:style>
  <w:style w:type="paragraph" w:styleId="BodyTextIndent">
    <w:name w:val="Body Text Indent"/>
    <w:basedOn w:val="Normal"/>
    <w:link w:val="BodyTextIndentChar"/>
    <w:rsid w:val="00810F69"/>
    <w:pPr>
      <w:spacing w:after="0" w:line="240" w:lineRule="auto"/>
      <w:ind w:left="426"/>
      <w:jc w:val="both"/>
    </w:pPr>
    <w:rPr>
      <w:rFonts w:ascii="Arial" w:eastAsia="Times New Roman" w:hAnsi="Arial"/>
      <w:sz w:val="28"/>
      <w:szCs w:val="20"/>
      <w:lang w:eastAsia="es-ES"/>
    </w:rPr>
  </w:style>
  <w:style w:type="character" w:customStyle="1" w:styleId="BodyTextIndentChar">
    <w:name w:val="Body Text Indent Char"/>
    <w:basedOn w:val="DefaultParagraphFont"/>
    <w:link w:val="BodyTextIndent"/>
    <w:rsid w:val="00810F69"/>
    <w:rPr>
      <w:rFonts w:ascii="Arial" w:eastAsia="Times New Roman" w:hAnsi="Arial" w:cs="Times New Roman"/>
      <w:sz w:val="28"/>
      <w:szCs w:val="20"/>
      <w:lang w:eastAsia="es-ES"/>
    </w:rPr>
  </w:style>
  <w:style w:type="character" w:customStyle="1" w:styleId="negritas">
    <w:name w:val="negritas"/>
    <w:rsid w:val="00810F69"/>
  </w:style>
  <w:style w:type="paragraph" w:customStyle="1" w:styleId="sangria">
    <w:name w:val="sangria"/>
    <w:basedOn w:val="Normal"/>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link w:val="ROMANOSCar"/>
    <w:rsid w:val="00810F6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10F69"/>
    <w:rPr>
      <w:rFonts w:ascii="Arial" w:eastAsia="Times New Roman" w:hAnsi="Arial" w:cs="Arial"/>
      <w:sz w:val="18"/>
      <w:szCs w:val="18"/>
      <w:lang w:val="es-ES" w:eastAsia="es-ES"/>
    </w:rPr>
  </w:style>
  <w:style w:type="paragraph" w:customStyle="1" w:styleId="ANOTACION">
    <w:name w:val="ANOTACION"/>
    <w:basedOn w:val="Normal"/>
    <w:link w:val="ANOTACIONCar"/>
    <w:rsid w:val="00810F6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810F69"/>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10F6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Cuerpo">
    <w:name w:val="Cuerpo"/>
    <w:rsid w:val="00810F6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NI"/>
    </w:rPr>
  </w:style>
  <w:style w:type="paragraph" w:customStyle="1" w:styleId="xl130">
    <w:name w:val="xl130"/>
    <w:basedOn w:val="Normal"/>
    <w:rsid w:val="00810F6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table" w:customStyle="1" w:styleId="Tablaconcuadrcula4">
    <w:name w:val="Tabla con cuadrícula4"/>
    <w:basedOn w:val="TableNormal"/>
    <w:next w:val="TableGrid"/>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10F69"/>
    <w:pPr>
      <w:spacing w:after="0" w:line="240" w:lineRule="auto"/>
    </w:pPr>
    <w:rPr>
      <w:rFonts w:ascii="Calibri" w:eastAsia="Calibri" w:hAnsi="Calibri" w:cs="Times New Roman"/>
      <w:color w:val="76923C" w:themeColor="accent3" w:themeShade="BF"/>
      <w:sz w:val="20"/>
      <w:szCs w:val="20"/>
      <w:lang w:eastAsia="es-MX"/>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5">
    <w:name w:val="Tabla con cuadrícula5"/>
    <w:basedOn w:val="TableNormal"/>
    <w:next w:val="TableGrid"/>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1">
    <w:name w:val="Estilo41"/>
    <w:uiPriority w:val="99"/>
    <w:rsid w:val="00810F69"/>
    <w:pPr>
      <w:numPr>
        <w:numId w:val="9"/>
      </w:numPr>
    </w:pPr>
  </w:style>
  <w:style w:type="numbering" w:customStyle="1" w:styleId="Estilo141">
    <w:name w:val="Estilo141"/>
    <w:uiPriority w:val="99"/>
    <w:rsid w:val="00810F69"/>
    <w:pPr>
      <w:numPr>
        <w:numId w:val="10"/>
      </w:numPr>
    </w:pPr>
  </w:style>
  <w:style w:type="numbering" w:customStyle="1" w:styleId="Style11">
    <w:name w:val="Style11"/>
    <w:uiPriority w:val="99"/>
    <w:rsid w:val="00810F69"/>
    <w:pPr>
      <w:numPr>
        <w:numId w:val="11"/>
      </w:numPr>
    </w:pPr>
  </w:style>
  <w:style w:type="table" w:customStyle="1" w:styleId="Tablaconcuadrcula6">
    <w:name w:val="Tabla con cuadrícula6"/>
    <w:basedOn w:val="TableNormal"/>
    <w:next w:val="TableGrid"/>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NoList"/>
    <w:uiPriority w:val="99"/>
    <w:semiHidden/>
    <w:unhideWhenUsed/>
    <w:rsid w:val="00810F69"/>
  </w:style>
  <w:style w:type="table" w:customStyle="1" w:styleId="Tablaconcuadrcula7">
    <w:name w:val="Tabla con cuadrícula7"/>
    <w:basedOn w:val="TableNormal"/>
    <w:next w:val="TableGrid"/>
    <w:uiPriority w:val="59"/>
    <w:rsid w:val="00810F69"/>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Car">
    <w:name w:val="Estilo Car"/>
    <w:basedOn w:val="DefaultParagraphFont"/>
    <w:link w:val="Estilo"/>
    <w:rsid w:val="00810F69"/>
    <w:rPr>
      <w:rFonts w:ascii="Times New Roman" w:eastAsia="Times New Roman" w:hAnsi="Times New Roman" w:cs="Times New Roman"/>
      <w:sz w:val="24"/>
      <w:szCs w:val="24"/>
      <w:lang w:val="es-ES" w:eastAsia="es-ES"/>
    </w:rPr>
  </w:style>
  <w:style w:type="paragraph" w:customStyle="1" w:styleId="a1">
    <w:name w:val="õ"/>
    <w:rsid w:val="00810F6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extocomentarioCar1">
    <w:name w:val="Texto comentario Car1"/>
    <w:basedOn w:val="DefaultParagraphFont"/>
    <w:uiPriority w:val="99"/>
    <w:semiHidden/>
    <w:rsid w:val="00810F69"/>
    <w:rPr>
      <w:rFonts w:ascii="Calibri" w:eastAsia="Calibri" w:hAnsi="Calibri" w:cs="Times New Roman"/>
      <w:sz w:val="20"/>
      <w:szCs w:val="20"/>
    </w:rPr>
  </w:style>
  <w:style w:type="character" w:customStyle="1" w:styleId="AsuntodelcomentarioCar1">
    <w:name w:val="Asunto del comentario Car1"/>
    <w:basedOn w:val="CommentTextChar"/>
    <w:uiPriority w:val="99"/>
    <w:semiHidden/>
    <w:rsid w:val="00810F69"/>
    <w:rPr>
      <w:rFonts w:ascii="Times New Roman" w:eastAsia="Times New Roman" w:hAnsi="Times New Roman" w:cs="Times New Roman"/>
      <w:b/>
      <w:bCs/>
      <w:sz w:val="20"/>
      <w:szCs w:val="24"/>
      <w:lang w:val="es-ES" w:eastAsia="es-ES"/>
    </w:rPr>
  </w:style>
  <w:style w:type="character" w:customStyle="1" w:styleId="TextodegloboCar1">
    <w:name w:val="Texto de globo Car1"/>
    <w:basedOn w:val="DefaultParagraphFont"/>
    <w:uiPriority w:val="99"/>
    <w:semiHidden/>
    <w:rsid w:val="00810F69"/>
    <w:rPr>
      <w:rFonts w:ascii="Tahoma" w:eastAsia="Calibri" w:hAnsi="Tahoma" w:cs="Tahoma"/>
      <w:sz w:val="16"/>
      <w:szCs w:val="16"/>
    </w:rPr>
  </w:style>
  <w:style w:type="character" w:customStyle="1" w:styleId="juizltcontent">
    <w:name w:val="juiz_lt_content"/>
    <w:basedOn w:val="DefaultParagraphFont"/>
    <w:rsid w:val="00810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35913</Words>
  <Characters>197522</Characters>
  <Application>Microsoft Office Word</Application>
  <DocSecurity>0</DocSecurity>
  <Lines>1646</Lines>
  <Paragraphs>465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Vargas</dc:creator>
  <cp:lastModifiedBy>enrique salas rodriguez</cp:lastModifiedBy>
  <cp:revision>2</cp:revision>
  <dcterms:created xsi:type="dcterms:W3CDTF">2018-01-16T23:44:00Z</dcterms:created>
  <dcterms:modified xsi:type="dcterms:W3CDTF">2018-01-16T23:44:00Z</dcterms:modified>
</cp:coreProperties>
</file>